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1 stopnia, niestacjonarne, 202</w:t>
      </w:r>
      <w:r>
        <w:rPr>
          <w:rFonts w:cs="Arial" w:ascii="Arial" w:hAnsi="Arial"/>
          <w:i/>
          <w:sz w:val="22"/>
        </w:rPr>
        <w:t>3</w:t>
      </w:r>
      <w:r>
        <w:rPr>
          <w:rFonts w:cs="Arial" w:ascii="Arial" w:hAnsi="Arial"/>
          <w:i/>
          <w:sz w:val="22"/>
        </w:rPr>
        <w:t>/202</w:t>
      </w:r>
      <w:r>
        <w:rPr>
          <w:rFonts w:cs="Arial" w:ascii="Arial" w:hAnsi="Arial"/>
          <w:i/>
          <w:sz w:val="22"/>
        </w:rPr>
        <w:t>4</w:t>
      </w:r>
      <w:r>
        <w:rPr>
          <w:rFonts w:cs="Arial" w:ascii="Arial" w:hAnsi="Arial"/>
          <w:i/>
          <w:sz w:val="22"/>
        </w:rPr>
        <w:t>, sem. 1</w:t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Anatomia i histologia roślin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Anatomy and histology of plants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Kornaś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Kornaś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Poznanie klasyfikacji, budowy i funkcji tkanek roślinnych oraz układów tkankowych.</w:t>
            </w:r>
          </w:p>
          <w:p>
            <w:pPr>
              <w:pStyle w:val="Normal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Zaznajomienie z rozwojem zarodka i różnicowaniem się zawiązków organów roślin nasiennych.</w:t>
            </w:r>
          </w:p>
          <w:p>
            <w:pPr>
              <w:pStyle w:val="Normal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Poznanie różnorodności budowy anatomicznej telomowych (</w:t>
            </w:r>
            <w:r>
              <w:rPr>
                <w:rFonts w:ascii="Verdana" w:hAnsi="Verdana"/>
                <w:i/>
                <w:color w:val="000000"/>
                <w:sz w:val="20"/>
                <w:szCs w:val="16"/>
              </w:rPr>
              <w:t>Telomophyta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). Poznanie budowy pierwotnej i formowania się budowy wtórnej korzenia.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Zaznajomienie z klasyfikacją </w:t>
            </w:r>
            <w:r>
              <w:rPr>
                <w:rFonts w:ascii="Verdana" w:hAnsi="Verdana"/>
                <w:i/>
                <w:color w:val="000000"/>
                <w:sz w:val="20"/>
                <w:szCs w:val="16"/>
              </w:rPr>
              <w:t>Telomophyta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w zależności od stopnia wilgotności środowiska. Poznanie budowy anatomicznej struktur związanych z rozmnażaniem płciowym roślin.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Wiedza z botaniki ogólnej obejmująca treści przewidziane do realizacji w szkole średniej.</w:t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Posługiwanie się mikroskopem optycznym w zakresie podstawowym. Wykonywanie prostych preparatów mikroskopowych. Korzystanie z literatury naukowej.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 xml:space="preserve">Efekty uczenia się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 Objaśnia specyfikę komórki roślinnej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 Przedstawia klasyfikację, budowę i funkcje tkanek roślinnych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 Przedstawia klasyfikację i funkcje układów tkankowych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 Opisuje różnicowanie się zawiązków organów roślin nasiennych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 Wyjaśnia filogenezę roślin telomowych w świetle teorii telomowej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 Charakteryzuje budowę pierwotną i wtórną korzenia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 Wyjaśnia założenia teorii stelarnej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 Przedstawia różnorodność budowy anatomicznej roślin telomowych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 Przedstawia klasyfikację roślin telomowych w zależności od stopnia wilgotności środowiska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W09 Opisuje budowę anatomiczną struktur związanych z rozmnażaniem płciowym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K_W09; K_W08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K_W09;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K_W09;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K_W09;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K_W09;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K_W09; K_W10;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Wykonuje preparaty mikroskopowe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Stosuje techniki barwienia struktur komórkowych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 Dokonuje obserwacji mikroskopowej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 Wykonuje rysunki obserwowanych pod mikroskopem obiektów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K_01; K_09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K_01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Postępuje z powierzonym sprzętem laboratoryjnym zgodnie z obowiązującymi procedurami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Organizuje wspólne wykonywanie zadań i pracę w grupie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K_K05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zaliczenia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Wykład z wykorzystaniem prezentacji multimedialnych (stacjonarnie)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Ćwiczenia laboratoryjne: indywidualna praca z mikroskopem z wykorzystaniem gotowych lub samodzielnie przygotowanych preparatów (stacjonarnie)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 trakcie semestru 1 sprawdzian w ramach ćwiczeń.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Ocena końcowa obejmuje oceny z ćwiczeń i zaliczenia wykładów (50% ocena z ćwiczeń, 50% ocena z wykładów 50% - pod warunkiem uzyskania pozytywnych ocen z obu części).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Specyfika budowy komórki roślinnej.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Klasyfikacja, budowa i funkcje tkanek roślinnych.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Układy tkankowe i ich funkcje.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Rozwój zarodka i różnicowanie się zawiązków organów roślin nasiennych.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Filogeneza roślin telomowych (</w:t>
            </w:r>
            <w:r>
              <w:rPr>
                <w:rFonts w:ascii="Verdana" w:hAnsi="Verdana"/>
                <w:i/>
                <w:color w:val="000000"/>
                <w:sz w:val="20"/>
              </w:rPr>
              <w:t>Telomophyta</w:t>
            </w:r>
            <w:r>
              <w:rPr>
                <w:rFonts w:ascii="Verdana" w:hAnsi="Verdana"/>
                <w:color w:val="000000"/>
                <w:sz w:val="20"/>
              </w:rPr>
              <w:t>) w świetle teorii telomowej.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Budowa pierwotna i formowanie się budowy wtórnej korzenia.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Założenia teorii stelarnej.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Różnorodność budowy telomowych (</w:t>
            </w:r>
            <w:r>
              <w:rPr>
                <w:rFonts w:ascii="Verdana" w:hAnsi="Verdana"/>
                <w:i/>
                <w:color w:val="000000"/>
                <w:sz w:val="20"/>
              </w:rPr>
              <w:t>Telomophyta</w:t>
            </w:r>
            <w:r>
              <w:rPr>
                <w:rFonts w:ascii="Verdana" w:hAnsi="Verdana"/>
                <w:color w:val="000000"/>
                <w:sz w:val="20"/>
              </w:rPr>
              <w:t>): gametoforów mszaków (</w:t>
            </w:r>
            <w:r>
              <w:rPr>
                <w:rFonts w:ascii="Verdana" w:hAnsi="Verdana"/>
                <w:i/>
                <w:color w:val="000000"/>
                <w:sz w:val="20"/>
              </w:rPr>
              <w:t>Bryophytina</w:t>
            </w:r>
            <w:r>
              <w:rPr>
                <w:rFonts w:ascii="Verdana" w:hAnsi="Verdana"/>
                <w:color w:val="000000"/>
                <w:sz w:val="20"/>
              </w:rPr>
              <w:t>), łodygi widłakowych (</w:t>
            </w:r>
            <w:r>
              <w:rPr>
                <w:rFonts w:ascii="Verdana" w:hAnsi="Verdana"/>
                <w:i/>
                <w:color w:val="000000"/>
                <w:sz w:val="20"/>
              </w:rPr>
              <w:t>Lycophytina</w:t>
            </w:r>
            <w:r>
              <w:rPr>
                <w:rFonts w:ascii="Verdana" w:hAnsi="Verdana"/>
                <w:color w:val="000000"/>
                <w:sz w:val="20"/>
              </w:rPr>
              <w:t>), skrzypowych (</w:t>
            </w:r>
            <w:r>
              <w:rPr>
                <w:rFonts w:ascii="Verdana" w:hAnsi="Verdana"/>
                <w:i/>
                <w:color w:val="000000"/>
                <w:sz w:val="20"/>
              </w:rPr>
              <w:t>Sphenophytina</w:t>
            </w:r>
            <w:r>
              <w:rPr>
                <w:rFonts w:ascii="Verdana" w:hAnsi="Verdana"/>
                <w:color w:val="000000"/>
                <w:sz w:val="20"/>
              </w:rPr>
              <w:t>), paprociowych (</w:t>
            </w:r>
            <w:r>
              <w:rPr>
                <w:rFonts w:ascii="Verdana" w:hAnsi="Verdana"/>
                <w:i/>
                <w:color w:val="000000"/>
                <w:sz w:val="20"/>
              </w:rPr>
              <w:t>Pterophytina</w:t>
            </w:r>
            <w:r>
              <w:rPr>
                <w:rFonts w:ascii="Verdana" w:hAnsi="Verdana"/>
                <w:color w:val="000000"/>
                <w:sz w:val="20"/>
              </w:rPr>
              <w:t>), budowa pierwotna i wtórna nagozalążkowych (</w:t>
            </w:r>
            <w:r>
              <w:rPr>
                <w:rFonts w:ascii="Verdana" w:hAnsi="Verdana"/>
                <w:i/>
                <w:color w:val="000000"/>
                <w:sz w:val="20"/>
              </w:rPr>
              <w:t>Pinophytina</w:t>
            </w:r>
            <w:r>
              <w:rPr>
                <w:rFonts w:ascii="Verdana" w:hAnsi="Verdana"/>
                <w:color w:val="000000"/>
                <w:sz w:val="20"/>
              </w:rPr>
              <w:t>) i okrytozalążkowych dwuliściennych (</w:t>
            </w:r>
            <w:r>
              <w:rPr>
                <w:rFonts w:ascii="Verdana" w:hAnsi="Verdana"/>
                <w:i/>
                <w:color w:val="000000"/>
                <w:sz w:val="20"/>
              </w:rPr>
              <w:t>Magnoliopsida</w:t>
            </w:r>
            <w:r>
              <w:rPr>
                <w:rFonts w:ascii="Verdana" w:hAnsi="Verdana"/>
                <w:color w:val="000000"/>
                <w:sz w:val="20"/>
              </w:rPr>
              <w:t>), budowa łodygi roślin okrytozalążkowych jednoliściennych (</w:t>
            </w:r>
            <w:r>
              <w:rPr>
                <w:rFonts w:ascii="Verdana" w:hAnsi="Verdana"/>
                <w:i/>
                <w:color w:val="000000"/>
                <w:sz w:val="20"/>
              </w:rPr>
              <w:t>Liliopsida</w:t>
            </w:r>
            <w:r>
              <w:rPr>
                <w:rFonts w:ascii="Verdana" w:hAnsi="Verdana"/>
                <w:color w:val="000000"/>
                <w:sz w:val="20"/>
              </w:rPr>
              <w:t>).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Klasyfikacja </w:t>
            </w:r>
            <w:r>
              <w:rPr>
                <w:rFonts w:ascii="Verdana" w:hAnsi="Verdana"/>
                <w:i/>
                <w:color w:val="000000"/>
                <w:sz w:val="20"/>
              </w:rPr>
              <w:t>Telomophyta</w:t>
            </w:r>
            <w:r>
              <w:rPr>
                <w:rFonts w:ascii="Verdana" w:hAnsi="Verdana"/>
                <w:color w:val="000000"/>
                <w:sz w:val="20"/>
              </w:rPr>
              <w:t xml:space="preserve"> w zależności od stopnia wilgotności środowiska.</w:t>
            </w:r>
          </w:p>
          <w:p>
            <w:pPr>
              <w:pStyle w:val="Tekstdymka1"/>
              <w:numPr>
                <w:ilvl w:val="0"/>
                <w:numId w:val="1"/>
              </w:numPr>
              <w:ind w:hanging="356" w:left="356"/>
              <w:rPr>
                <w:rFonts w:ascii="Arial" w:hAnsi="Arial" w:cs="Arial"/>
                <w:sz w:val="22"/>
              </w:rPr>
            </w:pPr>
            <w:r>
              <w:rPr>
                <w:rFonts w:ascii="Verdana" w:hAnsi="Verdana"/>
                <w:color w:val="000000"/>
                <w:sz w:val="20"/>
              </w:rPr>
              <w:t>Budowa anatomiczna struktur związanych z rozmnażaniem płciowym.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ind w:hanging="284" w:left="284"/>
        <w:rPr>
          <w:rFonts w:ascii="Verdana" w:hAnsi="Verdana"/>
          <w:color w:val="000000"/>
          <w:sz w:val="20"/>
          <w:szCs w:val="14"/>
        </w:rPr>
      </w:pPr>
      <w:r>
        <w:rPr>
          <w:rFonts w:ascii="Verdana" w:hAnsi="Verdana"/>
          <w:color w:val="000000"/>
          <w:sz w:val="20"/>
          <w:szCs w:val="14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ind w:hanging="284" w:left="28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1. Gorczyński T. Ćwiczenia z botaniki. PWN, Warszawa, 1983</w:t>
            </w:r>
          </w:p>
          <w:p>
            <w:pPr>
              <w:pStyle w:val="Normal"/>
              <w:ind w:hanging="284" w:left="28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2. Hejnowicz Z. Anatomia i histogeneza roślin naczyniowych. Organy wegetatywne. WN PWN, Warszawa, 2002</w:t>
            </w:r>
          </w:p>
          <w:p>
            <w:pPr>
              <w:pStyle w:val="Normal"/>
              <w:ind w:hanging="284" w:left="28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3. Malinowski E. Anatomia roślin. PWN, Warszawa, 1978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4. Szweykowska A., Szwejkowski J. Botanika. Morfologia. WN PWN, Warszawa, 2007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ind w:hanging="214" w:left="21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1. Braune W., Leman., Taubert H. Praktikum z anatomii roślin. PWN, Warszawa, 1975</w:t>
            </w:r>
          </w:p>
          <w:p>
            <w:pPr>
              <w:pStyle w:val="Normal"/>
              <w:ind w:hanging="214" w:left="21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2. Broda B. Zarys botaniki farmaceutycznej PZWL. Warszawa, 2002</w:t>
            </w:r>
          </w:p>
          <w:p>
            <w:pPr>
              <w:pStyle w:val="Normal"/>
              <w:ind w:hanging="214" w:left="21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3. Esau K. Anatomia roślin. PZWRiL, Warszawa, 1973</w:t>
            </w:r>
          </w:p>
          <w:p>
            <w:pPr>
              <w:pStyle w:val="Normal"/>
              <w:ind w:hanging="214" w:left="21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4. Kurczyńska E., Borowska-Wykręt D. Mikroskopia świetlna w badaniach komórki roślinnej. WN PWN,  Warszawa, 2007</w:t>
            </w:r>
          </w:p>
          <w:p>
            <w:pPr>
              <w:pStyle w:val="Normal"/>
              <w:ind w:hanging="214" w:left="214"/>
              <w:rPr>
                <w:rFonts w:ascii="Verdana" w:hAnsi="Verdana"/>
                <w:color w:val="000000"/>
                <w:sz w:val="20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14"/>
              </w:rPr>
              <w:t>5. Podbielkowski Z., Podbielkowska M. Przystosowania roślin do środowiska. WSiP, Warszawa, 1993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8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sprawdzianów celem zaliczenia ćwiczeń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8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59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rFonts w:ascii="Verdana" w:hAnsi="Verdana" w:cs="Tahoma"/>
        <w:color w:val="3333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90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rsid w:val="00cc6901"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cc6901"/>
    <w:rPr/>
  </w:style>
  <w:style w:type="character" w:styleId="Pagenumber">
    <w:name w:val="page number"/>
    <w:qFormat/>
    <w:rsid w:val="00cc6901"/>
    <w:rPr>
      <w:sz w:val="14"/>
      <w:szCs w:val="14"/>
    </w:rPr>
  </w:style>
  <w:style w:type="character" w:styleId="Annotationreference">
    <w:name w:val="annotation reference"/>
    <w:semiHidden/>
    <w:qFormat/>
    <w:rsid w:val="00cc6901"/>
    <w:rPr>
      <w:sz w:val="16"/>
      <w:szCs w:val="16"/>
    </w:rPr>
  </w:style>
  <w:style w:type="character" w:styleId="Znakiprzypiswdolnych">
    <w:name w:val="Znaki przypisów dolnych"/>
    <w:semiHidden/>
    <w:qFormat/>
    <w:rsid w:val="00cc690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sid w:val="00cc6901"/>
    <w:rPr>
      <w:sz w:val="24"/>
      <w:szCs w:val="24"/>
    </w:rPr>
  </w:style>
  <w:style w:type="character" w:styleId="Wrtext" w:customStyle="1">
    <w:name w:val="wrtext"/>
    <w:basedOn w:val="DefaultParagraphFont"/>
    <w:qFormat/>
    <w:rsid w:val="000d1071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cc6901"/>
    <w:pPr>
      <w:spacing w:before="0" w:after="120"/>
    </w:pPr>
    <w:rPr/>
  </w:style>
  <w:style w:type="paragraph" w:styleId="List">
    <w:name w:val="List"/>
    <w:basedOn w:val="BodyText"/>
    <w:rsid w:val="00cc690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6901"/>
    <w:pPr>
      <w:suppressLineNumbers/>
    </w:pPr>
    <w:rPr/>
  </w:style>
  <w:style w:type="paragraph" w:styleId="Podpis1" w:customStyle="1">
    <w:name w:val="Podpis1"/>
    <w:basedOn w:val="Normal"/>
    <w:qFormat/>
    <w:rsid w:val="00cc6901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rsid w:val="00cc6901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rsid w:val="00cc690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cc6901"/>
    <w:pPr>
      <w:suppressLineNumbers/>
    </w:pPr>
    <w:rPr/>
  </w:style>
  <w:style w:type="paragraph" w:styleId="Nagwektabeli" w:customStyle="1">
    <w:name w:val="Nagłówek tabeli"/>
    <w:basedOn w:val="Zawartotabeli"/>
    <w:qFormat/>
    <w:rsid w:val="00cc6901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rsid w:val="00cc6901"/>
    <w:pPr/>
    <w:rPr/>
  </w:style>
  <w:style w:type="paragraph" w:styleId="Annotationtext">
    <w:name w:val="annotation text"/>
    <w:basedOn w:val="Normal"/>
    <w:semiHidden/>
    <w:qFormat/>
    <w:rsid w:val="00cc6901"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rsid w:val="00cc6901"/>
    <w:pPr/>
    <w:rPr>
      <w:b/>
      <w:bCs/>
    </w:rPr>
  </w:style>
  <w:style w:type="paragraph" w:styleId="Tekstdymka1" w:customStyle="1">
    <w:name w:val="Tekst dymka1"/>
    <w:basedOn w:val="Normal"/>
    <w:qFormat/>
    <w:rsid w:val="00cc6901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c690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LibreOffice/7.6.1.2$Windows_X86_64 LibreOffice_project/f5defcebd022c5bc36bbb79be232cb6926d8f674</Application>
  <AppVersion>15.0000</AppVersion>
  <Pages>5</Pages>
  <Words>757</Words>
  <Characters>4920</Characters>
  <CharactersWithSpaces>5487</CharactersWithSpaces>
  <Paragraphs>183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2020-10-03T10:07:00Z</dcterms:created>
  <dc:creator>Barbara Wilk</dc:creator>
  <dc:description/>
  <dc:language>pl-PL</dc:language>
  <cp:lastModifiedBy/>
  <cp:lastPrinted>2012-01-27T07:28:00Z</cp:lastPrinted>
  <dcterms:modified xsi:type="dcterms:W3CDTF">2023-10-04T07:06:59Z</dcterms:modified>
  <cp:revision>10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