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stopień, studia stacjonarne, 2023/2024, III semestr</w:t>
      </w:r>
    </w:p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Heading1"/>
        <w:ind w:hanging="0" w:left="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Biochemia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iCs/>
                <w:sz w:val="22"/>
                <w:szCs w:val="22"/>
                <w:lang w:val="en-US"/>
              </w:rPr>
              <w:t>Biochemistry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Anna Barbasz prof. UP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Barbara Kreczmer</w:t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snapToGrid w:val="false"/>
              <w:rPr/>
            </w:pPr>
            <w:r>
              <w:rPr/>
            </w:r>
          </w:p>
          <w:tbl>
            <w:tblPr>
              <w:tblW w:w="95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00"/>
            </w:tblGrid>
            <w:tr>
              <w:trPr>
                <w:trHeight w:val="250" w:hRule="atLeast"/>
              </w:trPr>
              <w:tc>
                <w:tcPr>
                  <w:tcW w:w="9500" w:type="dxa"/>
                  <w:tcBorders/>
                </w:tcPr>
                <w:p>
                  <w:pPr>
                    <w:pStyle w:val="Default"/>
                    <w:rPr/>
                  </w:pPr>
                  <w:r>
                    <w:rPr/>
                    <w:t xml:space="preserve">Poznanie biochemicznych podstaw funkcjonowania organizmów żywych, Kształtowanie umiejętności posługiwania się podstawowymi technikami biochemicznymi w pracy laboratoryjnej. </w:t>
                  </w:r>
                </w:p>
                <w:p>
                  <w:pPr>
                    <w:pStyle w:val="Default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/>
            </w:pPr>
            <w:r>
              <w:rPr/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1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62"/>
            </w:tblGrid>
            <w:tr>
              <w:trPr>
                <w:trHeight w:val="229" w:hRule="atLeast"/>
              </w:trPr>
              <w:tc>
                <w:tcPr>
                  <w:tcW w:w="7162" w:type="dxa"/>
                  <w:tcBorders/>
                </w:tcPr>
                <w:p>
                  <w:pPr>
                    <w:pStyle w:val="Default"/>
                    <w:rPr/>
                  </w:pPr>
                  <w:r>
                    <w:rPr>
                      <w:sz w:val="20"/>
                      <w:szCs w:val="20"/>
                    </w:rPr>
                    <w:t>posiada wiedzę z zakresu biochemii i fizjologii człowieka i zwierząt</w:t>
                  </w:r>
                </w:p>
              </w:tc>
            </w:tr>
          </w:tbl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/>
            </w:pPr>
            <w:r>
              <w:rPr/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09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3"/>
            </w:tblGrid>
            <w:tr>
              <w:trPr>
                <w:trHeight w:val="229" w:hRule="atLeast"/>
              </w:trPr>
              <w:tc>
                <w:tcPr>
                  <w:tcW w:w="7093" w:type="dxa"/>
                  <w:tcBorders/>
                </w:tcPr>
                <w:p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wyciąga wnioski na podstawie analizowanej literatury, potrafi sporządzać notatki, konfrontuje informacje pochodzące z różnych źródeł </w:t>
                  </w:r>
                </w:p>
              </w:tc>
            </w:tr>
          </w:tbl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brak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 xml:space="preserve">Efekty kształcenia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/>
              <w:t xml:space="preserve">W01 Definiuje podstawowe pojęcia związane z biochemicznym funkcjonowaniem komórki </w:t>
            </w:r>
          </w:p>
          <w:p>
            <w:pPr>
              <w:pStyle w:val="Normal"/>
              <w:rPr/>
            </w:pPr>
            <w:r>
              <w:rPr/>
              <w:t xml:space="preserve">W02 Charakteryzuje strukturę i funkcje aminokwasów, białek, a także lipidów i węglowodorów w organizmach żywych </w:t>
            </w:r>
          </w:p>
          <w:p>
            <w:pPr>
              <w:pStyle w:val="Normal"/>
              <w:rPr/>
            </w:pPr>
            <w:r>
              <w:rPr/>
              <w:t xml:space="preserve">W03 Zna metody chemiczne pozwalające na oznaczenia ilościowe i jakościowe substancji, ze szczególnym uwzględnieniem metod stosowanych w biologii. </w:t>
            </w:r>
          </w:p>
          <w:p>
            <w:pPr>
              <w:pStyle w:val="Normal"/>
              <w:rPr/>
            </w:pPr>
            <w:r>
              <w:rPr/>
              <w:t>W05 Objaśnia budowę i funkcje enzymów, kinetykę enzymatyczną, regulację aktywności enzymatycznej. W06 Zna szlaki metaboliczne białek, cukrów i lipidów.</w:t>
            </w:r>
          </w:p>
          <w:p>
            <w:pPr>
              <w:pStyle w:val="Normal"/>
              <w:rPr/>
            </w:pPr>
            <w:r>
              <w:rPr/>
              <w:t xml:space="preserve">W07 Wykazuje podstawową wiedzę na temat zasad bezpieczeństwa i higieny pracy 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/>
              <w:t>K_W03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K_W03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K_W20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K_W03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K_W04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K_W23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/>
              <w:t xml:space="preserve">U01 Przeprowadza analizy związków chemicznych w materiale biologicznym. </w:t>
            </w:r>
          </w:p>
          <w:p>
            <w:pPr>
              <w:pStyle w:val="Normal"/>
              <w:rPr/>
            </w:pPr>
            <w:r>
              <w:rPr/>
              <w:t xml:space="preserve">U02 Dokonuje prawidłowego doboru metody w zależności od badanego układu biologicznego. </w:t>
            </w:r>
          </w:p>
          <w:p>
            <w:pPr>
              <w:pStyle w:val="Normal"/>
              <w:rPr/>
            </w:pPr>
            <w:r>
              <w:rPr/>
              <w:t xml:space="preserve">U03 Dokonuje interpretacji biologicznej rejestrowanych zmian ilościowych i jakościowych oznaczanych substancji chemicznych.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>U04 Projektuje doświadczenia mające na celu oznaczenie związków biologicznie czynnych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K_U01,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K_U01,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K_U08, K_U09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K_U01, K_U06</w:t>
            </w:r>
          </w:p>
        </w:tc>
      </w:tr>
    </w:tbl>
    <w:p>
      <w:pPr>
        <w:pStyle w:val="Normal"/>
        <w:rPr>
          <w:sz w:val="22"/>
          <w:szCs w:val="16"/>
        </w:rPr>
      </w:pPr>
      <w:r>
        <w:rPr>
          <w:sz w:val="22"/>
          <w:szCs w:val="16"/>
        </w:rPr>
      </w:r>
    </w:p>
    <w:p>
      <w:pPr>
        <w:pStyle w:val="Normal"/>
        <w:rPr>
          <w:sz w:val="22"/>
          <w:szCs w:val="16"/>
        </w:rPr>
      </w:pPr>
      <w:r>
        <w:rPr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K01 Aktualizuje wiedzę na temat biochemii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K02 Wdraża zdobyte informacje do zachowań prozdrowotnych – własnych, swoich bliskich, podwładnych etc.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>K03 Postępuje z powierzonym sprzętem laboratoryjnym zgodnie z obowiązującymi zasadami K04 Planuje wspólne wykonywanie zadań i organizuje pracę w zespole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K_K01,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K_K05, K_k07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K_K03,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K_K03, K_K05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z prezentacją multimedialną, dyskusja.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laboratoryjne: praktyczne oznaczenia laboratoryjne, dyskusja.</w:t>
            </w:r>
          </w:p>
          <w:p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eastAsia="Arial" w:cs="Arial"/>
                <w:sz w:val="22"/>
                <w:szCs w:val="16"/>
              </w:rPr>
            </w:pPr>
            <w:r>
              <w:rPr>
                <w:rFonts w:eastAsia="Arial" w:cs="Arial" w:ascii="Arial" w:hAnsi="Arial"/>
                <w:sz w:val="22"/>
                <w:szCs w:val="16"/>
              </w:rPr>
              <w:t xml:space="preserve"> 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Wykłady: test jednokrotnego wyboru oraz pytania otwarte.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Ćwiczenia: samodzielne przeprowadzenie analiz oraz pozytywna ocena z kolokwiów obejmujących tematykę aminokwasów, białek, enzymów, lipidów i cukrów.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napToGrid w:val="false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color w:val="000000"/>
              </w:rPr>
            </w:pPr>
            <w:r>
              <w:rPr>
                <w:color w:val="000000"/>
              </w:rPr>
              <w:t>Wykłady: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Aminokwasy i struktura białek. Białka modelowe. Współzależność budowy i funkcji białka.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Enzymy – katalizatory białkowe. Klasyfikacja i przegląd enzymów. Budowa enzymów. Kinetyka i termodynamika reakcji enzymatycznych.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Struktura i funkcja węglowodanów.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Lipidy i ich pochodne.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Metabolizm, umiejscowienie szlaków metabolicznych w komórce. Bioenergetyka.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Mechanizm działania hormonów.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Metabolizm cukrów: glikoliza i alternatywne szlaki i cykle.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Metabolizm lipidów i związków pokrewnych.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Metabolizm aminokwasów i białek.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Integracja metabolizmu.</w:t>
            </w:r>
          </w:p>
          <w:p>
            <w:pPr>
              <w:pStyle w:val="Defaul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/>
            </w:pPr>
            <w:r>
              <w:rPr/>
              <w:t xml:space="preserve">Ćwiczenia: </w:t>
            </w:r>
          </w:p>
          <w:p>
            <w:pPr>
              <w:pStyle w:val="Default"/>
              <w:rPr/>
            </w:pPr>
            <w:r>
              <w:rPr/>
              <w:t xml:space="preserve">1. Zasady bezpieczeństwa w zakresie ochrony przeciw Covid-19 oraz zasady BHP w laboratorium biochemicznym. Roztwory, stężenia procentowe, stężenia molowe. Zadania obliczeniowe. </w:t>
            </w:r>
          </w:p>
          <w:p>
            <w:pPr>
              <w:pStyle w:val="Default"/>
              <w:rPr/>
            </w:pPr>
            <w:r>
              <w:rPr/>
              <w:t xml:space="preserve">2. Aminokwasy: wykrywanie aminokwasów w roztworach, reakcje charakterystyczne dla poszczególnych aminokwasów, analiza ilościowa aminokwasów. </w:t>
            </w:r>
          </w:p>
          <w:p>
            <w:pPr>
              <w:pStyle w:val="Default"/>
              <w:rPr/>
            </w:pPr>
            <w:r>
              <w:rPr/>
              <w:t xml:space="preserve">3. Białka: reakcje barwne białek, oznaczenie punktu izolelektycznego, ilościowe oznaczenia spektrofotometryczne zawartości białka w roztworze </w:t>
            </w:r>
          </w:p>
          <w:p>
            <w:pPr>
              <w:pStyle w:val="Default"/>
              <w:rPr/>
            </w:pPr>
            <w:r>
              <w:rPr/>
              <w:t>4. Enzymy: wykrywanie aktywności enzymów w preparatach biologicznych</w:t>
            </w:r>
          </w:p>
          <w:p>
            <w:pPr>
              <w:pStyle w:val="Default"/>
              <w:rPr/>
            </w:pPr>
            <w:r>
              <w:rPr/>
              <w:t>5 Jednostki enzymatyczne, oznaczenie aktywności amylazy śliny metodą Wohlgemuta. Wyznaczenie stałej Michaelisa</w:t>
            </w:r>
          </w:p>
          <w:p>
            <w:pPr>
              <w:pStyle w:val="Default"/>
              <w:rPr/>
            </w:pPr>
            <w:r>
              <w:rPr/>
              <w:t>6. Cukry: relacje ogólne cukrowców, wykrywanie pentoz, właściwości redukujące monosacharydów</w:t>
            </w:r>
          </w:p>
          <w:p>
            <w:pPr>
              <w:pStyle w:val="Default"/>
              <w:rPr/>
            </w:pPr>
            <w:r>
              <w:rPr/>
              <w:t>7. Cukry: Sacharoza, właściwości, hydroliza kwasowa. Skrobia: właściwości. Oznaczanie zawartości glukozy metodą Somogyi-Nelsona.</w:t>
            </w:r>
          </w:p>
          <w:p>
            <w:pPr>
              <w:pStyle w:val="Default"/>
              <w:rPr/>
            </w:pPr>
            <w:r>
              <w:rPr/>
              <w:t>8.  Lipidy: Analiza jakościowa i ilościowa tłuszczów właściwych.</w:t>
            </w:r>
          </w:p>
          <w:p>
            <w:pPr>
              <w:pStyle w:val="Default"/>
              <w:rPr/>
            </w:pPr>
            <w:r>
              <w:rPr/>
              <w:t>9. Lipidy: Tłuszcze złożone. Ilościowe oznaczanie cholesterolu metodą kolorymetryczną.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/>
              <w:t xml:space="preserve">10. Podsumowanie. Kolokwium zaliczeniowe. </w:t>
            </w:r>
          </w:p>
          <w:p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wyboru: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Bereta, Aleksander Koj (2009)  Zarys Biochemii. Seria Wydawnicza Wydziału Biochemii, Biofizyki i Biotechnologii Uniwersytetu Jagiellońskiego.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Victor L. Davidson , red. Donald B. Sittman (2002) Biochemia. Urban &amp; Partner Wrocław.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Jeremy M. Berg, Lubert Stryer, John L. Tymoczko, Gregory J. Gatto (2018) Biochemia. PWN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Hames, Nigel Hooper (2021) Biochemia. krótkie wykłady. PWN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A. Bender, Kathleen M. Botham, Victor W. Rodwell (2022) Biochemia Harpera. PZWL</w:t>
            </w:r>
          </w:p>
          <w:p>
            <w:pPr>
              <w:pStyle w:val="Default"/>
              <w:rPr>
                <w:b/>
                <w:color w:val="000000"/>
                <w:sz w:val="22"/>
                <w:szCs w:val="22"/>
              </w:rPr>
            </w:pPr>
            <w:r>
              <w:rPr/>
              <w:t>Ćwiczenia: Staniec J., Bojarska A.B. (1997).Ćwiczenia z biochemii dla studentów biologii. Wydawnictwo Naukowe AP i materiały od prowadzących.</w:t>
            </w:r>
          </w:p>
          <w:p>
            <w:pPr>
              <w:pStyle w:val="Defaul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Default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Akapitzlist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cs="Times New Roman" w:ascii="Times New Roman" w:hAnsi="Times New Roman"/>
                <w:bCs/>
              </w:rPr>
              <w:t xml:space="preserve">Barbasz, A., Oćwieja, M., Roman, M. (2017). </w:t>
            </w:r>
            <w:r>
              <w:rPr>
                <w:rFonts w:cs="Times New Roman" w:ascii="Times New Roman" w:hAnsi="Times New Roman"/>
                <w:bCs/>
                <w:lang w:val="en-US"/>
              </w:rPr>
              <w:t xml:space="preserve">Toxicity of silver nanoparticles towards tumoral human cell lines U-937 and HL-60. Colloids and Surfaces B: Biointerfaces. 156 (1):  397-404 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  <w:lang w:val="en-US"/>
              </w:rPr>
              <w:t>DOI: 10.1016/j.colsurfb.2017.05.027</w:t>
            </w:r>
          </w:p>
          <w:p>
            <w:pPr>
              <w:pStyle w:val="Akapitzlist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Barbasz, A., Czyżowska, A., Piergies, N., &amp; Oćwieja, M. (2022). Design cytotoxicity: The effect of silver nanoparticles stabilized by selected antioxidants on melanoma cells. Journal of Applied Toxicology, 42(4), 570-587.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Dyba, B., Rudolphi-Szydło, E., Barbasz, A., Czyżowska, A., Hus, K. K., Petrilla, V., ... &amp; Bocian, A. (2021). Effects of 3FTx protein fraction from Naja ashei venom on the model and native membranes: recognition and implications for the mechanisms of toxicity. Molecules, 26(8), 2164.</w:t>
            </w:r>
          </w:p>
          <w:p>
            <w:pPr>
              <w:pStyle w:val="Normal"/>
              <w:ind w:left="720" w:righ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Czyżowska, A., Barbasz, A., Szyk-Warszyńska, L., Oćwieja, M., Csapó, E., &amp; Ungor, D. (2021). The surface-dependent biological effect of protein-gold nanoclusters on human immune system mimetic cells. Colloids and Surfaces A: Physicochemical and Engineering Aspects, 620, 126569.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BalloonText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0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Apple-converted-space">
    <w:name w:val="apple-converted-space"/>
    <w:basedOn w:val="Domylnaczcionka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  <w:style w:type="paragraph" w:styleId="Akapitzlist">
    <w:name w:val="Akapit z listą"/>
    <w:basedOn w:val="Normal"/>
    <w:qFormat/>
    <w:pPr>
      <w:widowControl/>
      <w:suppressAutoHyphens w:val="false"/>
      <w:autoSpaceDE w:val="true"/>
      <w:spacing w:lineRule="auto" w:line="276" w:before="0" w:after="200"/>
      <w:ind w:hanging="0" w:left="720" w:right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LibreOffice/7.6.1.2$Windows_X86_64 LibreOffice_project/f5defcebd022c5bc36bbb79be232cb6926d8f674</Application>
  <AppVersion>15.0000</AppVersion>
  <Pages>5</Pages>
  <Words>933</Words>
  <Characters>6180</Characters>
  <CharactersWithSpaces>6938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2023-09-07T11:55:00Z</dcterms:created>
  <dc:creator>Barbara Wilk</dc:creator>
  <dc:description/>
  <dc:language>pl-PL</dc:language>
  <cp:lastModifiedBy>anna.barbasz@op.pl</cp:lastModifiedBy>
  <cp:lastPrinted>2022-09-01T12:27:00Z</cp:lastPrinted>
  <dcterms:modified xsi:type="dcterms:W3CDTF">2023-09-07T11:55:00Z</dcterms:modified>
  <cp:revision>2</cp:revision>
  <dc:subject/>
  <dc:title>KARTA KURSU</dc:title>
</cp:coreProperties>
</file>