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Heading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Załącznik nr  7 do Zarządzenia Nr RD/Z.0201-…..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right"/>
        <w:outlineLvl w:val="0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Biologia, II stopień, niestacjonarne, 2023/2024, semestr 1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Style w:val="SubtleEmphasis"/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BIOLOGIA LABORATORYJNA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/>
          <w:b/>
          <w:bCs/>
          <w:i/>
          <w:i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i/>
          <w:sz w:val="24"/>
          <w:szCs w:val="24"/>
          <w:lang w:eastAsia="pl-PL"/>
        </w:rPr>
        <w:t>(nazwa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/>
          <w:b/>
          <w:bCs/>
          <w:i/>
          <w:i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i/>
          <w:sz w:val="24"/>
          <w:szCs w:val="24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/>
          <w:b/>
          <w:bCs/>
          <w:i/>
          <w:i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i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3"/>
        <w:gridCol w:w="7656"/>
      </w:tblGrid>
      <w:tr>
        <w:trPr>
          <w:trHeight w:val="395" w:hRule="atLeast"/>
        </w:trPr>
        <w:tc>
          <w:tcPr>
            <w:tcW w:w="19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6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BIOCHEMICZNE MECHANIZMY ADAPTACJI</w:t>
            </w:r>
          </w:p>
        </w:tc>
      </w:tr>
      <w:tr>
        <w:trPr>
          <w:trHeight w:val="379" w:hRule="atLeast"/>
        </w:trPr>
        <w:tc>
          <w:tcPr>
            <w:tcW w:w="19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Nazwa w j. ang.</w:t>
            </w:r>
          </w:p>
        </w:tc>
        <w:tc>
          <w:tcPr>
            <w:tcW w:w="76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 w:eastAsia="pl-PL"/>
              </w:rPr>
              <w:t>THE BIOCHEMICAL MECHANISMS OF ADAPTATION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val="en-US" w:eastAsia="pl-PL"/>
        </w:rPr>
      </w:pPr>
      <w:r>
        <w:rPr>
          <w:rFonts w:eastAsia="Times New Roman" w:ascii="Times New Roman" w:hAnsi="Times New Roman"/>
          <w:sz w:val="24"/>
          <w:szCs w:val="24"/>
          <w:lang w:val="en-US" w:eastAsia="pl-PL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7"/>
        <w:gridCol w:w="3190"/>
        <w:gridCol w:w="3263"/>
      </w:tblGrid>
      <w:tr>
        <w:trPr>
          <w:cantSplit w:val="true"/>
        </w:trPr>
        <w:tc>
          <w:tcPr>
            <w:tcW w:w="318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dr hab. Apolonia Sieprawska</w:t>
            </w:r>
          </w:p>
        </w:tc>
        <w:tc>
          <w:tcPr>
            <w:tcW w:w="326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Zespół dydaktyczny</w:t>
            </w:r>
          </w:p>
        </w:tc>
      </w:tr>
      <w:tr>
        <w:trPr>
          <w:trHeight w:val="390" w:hRule="atLeast"/>
          <w:cantSplit w:val="true"/>
        </w:trPr>
        <w:tc>
          <w:tcPr>
            <w:tcW w:w="3187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26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dr hab. Apolonia Sieprawska</w:t>
            </w:r>
          </w:p>
        </w:tc>
      </w:tr>
      <w:tr>
        <w:trPr>
          <w:trHeight w:val="57" w:hRule="atLeast"/>
          <w:cantSplit w:val="true"/>
        </w:trPr>
        <w:tc>
          <w:tcPr>
            <w:tcW w:w="3187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263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3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/>
          <w:i/>
          <w:i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Poznanie przyczyn, objawów i konsekwencji wynikających z nadprodukcji reaktywnych form tlenu w komórkach. Poznanie możliwości przystosowawczych organizmów do naturalnych warunków środowiska;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kształtowanie umiejętności posługiwania się technikami biochemicznymi, współpraca w grupie.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Efekty uczenia się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95"/>
        <w:gridCol w:w="2270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Efekt uczenia się dla kursu</w:t>
            </w:r>
          </w:p>
        </w:tc>
        <w:tc>
          <w:tcPr>
            <w:tcW w:w="236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39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W01 Definiuje czynniki środowiskowe prowadzące do powstania stresu oksydacyjnego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W02 Opisuje mechanizmy prowadzące do zaburzeń równowagi redox w komórkach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W03 Omawia znaczenie reaktywnych form tlenu w komórkach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W04 Charakteryzuje antyoksydanty komórkowe z uwzględnieniem ich właściwości chemicznych oraz lokalizacji w komórkach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W05 Omawia mechanizmy adaptacji komórek do warunków stresowych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W06 Zna metody biochemiczne pozwalające na oznaczenia ilościowe i jakościowe markerów stresu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W07 Wykazuje podstawową wiedzę na temat zasad bezpieczeństwa i higieny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K_W06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K_W06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K_W06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K_W06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K_W06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K_W15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3"/>
        <w:gridCol w:w="5247"/>
        <w:gridCol w:w="2410"/>
      </w:tblGrid>
      <w:tr>
        <w:trPr>
          <w:trHeight w:val="939" w:hRule="atLeast"/>
          <w:cantSplit w:val="true"/>
        </w:trPr>
        <w:tc>
          <w:tcPr>
            <w:tcW w:w="198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52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116" w:hRule="atLeast"/>
          <w:cantSplit w:val="true"/>
        </w:trPr>
        <w:tc>
          <w:tcPr>
            <w:tcW w:w="1983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2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spacing w:before="57" w:after="57"/>
              <w:rPr/>
            </w:pPr>
            <w:r>
              <w:rPr/>
              <w:t>U01 Projektuje układ doświadczalny mający na celu zobrazowanie działania wybranego czynnika stresowego w warunkach modelowych</w:t>
            </w:r>
          </w:p>
          <w:p>
            <w:pPr>
              <w:pStyle w:val="Zawartotabeli"/>
              <w:spacing w:before="57" w:after="57"/>
              <w:rPr/>
            </w:pPr>
            <w:r>
              <w:rPr/>
            </w:r>
          </w:p>
          <w:p>
            <w:pPr>
              <w:pStyle w:val="Zawartotabeli"/>
              <w:spacing w:before="57" w:after="57"/>
              <w:rPr/>
            </w:pPr>
            <w:r>
              <w:rPr/>
              <w:t>U02 Dokonuje prawidłowego doboru metod analitycznych w zależności od profilu doświadczenia</w:t>
            </w:r>
          </w:p>
          <w:p>
            <w:pPr>
              <w:pStyle w:val="Zawartotabeli"/>
              <w:spacing w:before="57" w:after="57"/>
              <w:rPr/>
            </w:pPr>
            <w:r>
              <w:rPr/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U03 Dokonuje interpretacji uzyskanych zmian ilościowych analizowanych substancji chemicznych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K_U01; K_U03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K_U01; K_U03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K_U03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3"/>
        <w:gridCol w:w="5247"/>
        <w:gridCol w:w="2410"/>
      </w:tblGrid>
      <w:tr>
        <w:trPr>
          <w:trHeight w:val="800" w:hRule="atLeast"/>
          <w:cantSplit w:val="true"/>
        </w:trPr>
        <w:tc>
          <w:tcPr>
            <w:tcW w:w="198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Kompetencje społeczne</w:t>
            </w:r>
          </w:p>
        </w:tc>
        <w:tc>
          <w:tcPr>
            <w:tcW w:w="52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3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2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K01 Planuje wspólne wykonywanie zadań i organizuje pracę w zespole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K02 przestrzega zasad dyskusji, posługując się językiem typowym dla nauk biologicznych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K_K03, K_K07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09"/>
        <w:gridCol w:w="1227"/>
        <w:gridCol w:w="850"/>
        <w:gridCol w:w="272"/>
        <w:gridCol w:w="862"/>
        <w:gridCol w:w="315"/>
        <w:gridCol w:w="818"/>
        <w:gridCol w:w="286"/>
        <w:gridCol w:w="849"/>
        <w:gridCol w:w="283"/>
        <w:gridCol w:w="850"/>
        <w:gridCol w:w="286"/>
        <w:gridCol w:w="848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0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22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0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4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2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3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3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Wykład z prezentacją multimedialną- zdalnie</w:t>
            </w:r>
          </w:p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Ćwiczenia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doświadczenia laboratoryjne – stacjonarnie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prezentacja uzyskanych wyników - stacjonarnie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Formy sprawdzania efektów uczenia się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4"/>
        <w:gridCol w:w="667"/>
        <w:gridCol w:w="667"/>
        <w:gridCol w:w="666"/>
        <w:gridCol w:w="664"/>
        <w:gridCol w:w="667"/>
        <w:gridCol w:w="667"/>
        <w:gridCol w:w="666"/>
        <w:gridCol w:w="564"/>
        <w:gridCol w:w="768"/>
        <w:gridCol w:w="667"/>
        <w:gridCol w:w="667"/>
        <w:gridCol w:w="664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E – 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pl-PL"/>
              </w:rPr>
              <w:t>learning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Zajęcia terenowe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Praca laboratoryjna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Egzamin ustny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Egzamin pisemny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W01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W02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W03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W04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W05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U01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U02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U03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K01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K02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Zawartotabeli"/>
              <w:spacing w:before="57" w:after="57"/>
              <w:rPr/>
            </w:pPr>
            <w:r>
              <w:rPr/>
              <w:t>Wykład: test - 60% poprawnych odpowiedzi ocena pozytywna</w:t>
            </w:r>
          </w:p>
          <w:p>
            <w:pPr>
              <w:pStyle w:val="Zawartotabeli"/>
              <w:spacing w:before="57" w:after="57"/>
              <w:rPr/>
            </w:pPr>
            <w:r>
              <w:rPr/>
              <w:t>Ćwiczenia: Wykonania niezbędnych obliczeń i dyskusja uzyskanych wyników.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ind w:left="4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Wykłady: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Zaburzenia homeostazy w komórkach - koncepcje stresu oksydacyjnego.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Biochemiczne mechanizmy warunkujące powrót do homeostazy.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Teorie dotyczące warunków generowania reaktywnych form tlenu.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Lokalna i systemiczna reakcja komórek w warunkach stresu.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Mechanizmy utrzymujące homeostazę redoks komórek.</w:t>
            </w:r>
          </w:p>
          <w:p>
            <w:pPr>
              <w:pStyle w:val="Normal"/>
              <w:ind w:left="4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Ćwiczenia: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stężenia markerów stresowych w wyhodowanym materiale biologicznym.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ilości antyoksydantów.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Określenie zmian równowagi redox wkomórkach.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Bartosz G Druga twarz tlenu, PWN 2003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Wykaz literatury uzupełniającej</w:t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Heading2"/>
              <w:spacing w:before="240" w:after="60"/>
              <w:rPr>
                <w:rFonts w:ascii="Times New Roman" w:hAnsi="Times New Roman" w:cs="Times New Roman"/>
                <w:b w:val="false"/>
                <w:bCs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z w:val="24"/>
                <w:szCs w:val="24"/>
              </w:rPr>
              <w:t>1. Stryer L., Tymoczko JL., Berg JM. Biochemia. PWN. 2007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Bańkowski E. 2004. Biochemia. Podręcznik dla studentów uczelni medycznych. Wydawnictwo Medyczne Urban &amp; Partner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Kłyszejko-Stefanowicz L. 1982. Ćwiczenia z biochemii.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Warszawa-Poznań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MyriadPro-Regular"/>
                <w:color w:themeColor="text1"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color w:themeColor="text1" w:val="000000"/>
                <w:sz w:val="24"/>
                <w:szCs w:val="24"/>
                <w:lang w:val="en-GB"/>
              </w:rPr>
              <w:t xml:space="preserve">4. Kornaś A., Filek M., Sieprawska A., Bednarska-Kozakiewicz E., Gawrońska K., Miszalski Z. Foliar application of selenium for protection against the first stages of mycotoxin infection of crop plant leaves. </w:t>
            </w:r>
            <w:r>
              <w:rPr>
                <w:rFonts w:eastAsia="MyriadPro-Regular" w:ascii="Times New Roman" w:hAnsi="Times New Roman"/>
                <w:color w:themeColor="text1" w:val="000000"/>
                <w:sz w:val="24"/>
                <w:szCs w:val="24"/>
                <w:lang w:val="en-GB"/>
              </w:rPr>
              <w:t>Journal of the Science of Food and Agriculture DOI 10.1002/jsfa.9145,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4"/>
                <w:szCs w:val="24"/>
                <w:lang w:val="en-GB"/>
              </w:rPr>
            </w:pPr>
            <w:r>
              <w:rPr>
                <w:rFonts w:eastAsia="Times New Roman" w:ascii="Times New Roman" w:hAnsi="Times New Roman"/>
                <w:color w:themeColor="text1"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Filek M., Łabanowska M., Kurdziel M., Sieprawska A. </w:t>
            </w:r>
            <w:hyperlink r:id="rId2">
              <w:r>
                <w:rPr>
                  <w:rStyle w:val="Hyperlink"/>
                  <w:rFonts w:ascii="Times New Roman" w:hAnsi="Times New Roman"/>
                  <w:color w:themeColor="text1" w:val="000000"/>
                  <w:sz w:val="24"/>
                  <w:szCs w:val="24"/>
                  <w:u w:val="none"/>
                  <w:lang w:val="en-GB"/>
                </w:rPr>
                <w:t>Electron Paramagnetic Resonance (EPR) Spectroscopy in Studies of the Protective Effects of 24-Epibrasinoide and Selenium against Zearalenone-Stimulation of the Oxidative Stress in Germinating Grains of Wheat</w:t>
              </w:r>
            </w:hyperlink>
            <w:r>
              <w:rPr>
                <w:rFonts w:ascii="Times New Roman" w:hAnsi="Times New Roman"/>
                <w:color w:themeColor="text1" w:val="000000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color w:themeColor="text1" w:val="000000"/>
                <w:sz w:val="24"/>
                <w:szCs w:val="24"/>
                <w:lang w:val="en-GB"/>
              </w:rPr>
              <w:t>Toxins</w:t>
            </w:r>
            <w:r>
              <w:rPr>
                <w:rFonts w:ascii="Times New Roman" w:hAnsi="Times New Roman"/>
                <w:color w:themeColor="text1"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themeColor="text1" w:val="000000"/>
                <w:sz w:val="24"/>
                <w:szCs w:val="24"/>
                <w:lang w:val="en-GB"/>
              </w:rPr>
              <w:t>2017</w:t>
            </w:r>
            <w:r>
              <w:rPr>
                <w:rFonts w:ascii="Times New Roman" w:hAnsi="Times New Roman"/>
                <w:color w:themeColor="text1" w:val="000000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themeColor="text1" w:val="000000"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/>
                <w:color w:themeColor="text1" w:val="000000"/>
                <w:sz w:val="24"/>
                <w:szCs w:val="24"/>
                <w:lang w:val="en-GB"/>
              </w:rPr>
              <w:t>(6), 178; doi:</w:t>
            </w:r>
            <w:hyperlink r:id="rId3" w:tgtFrame="_blank">
              <w:r>
                <w:rPr>
                  <w:rStyle w:val="Hyperlink"/>
                  <w:rFonts w:ascii="Times New Roman" w:hAnsi="Times New Roman"/>
                  <w:color w:themeColor="text1" w:val="000000"/>
                  <w:sz w:val="24"/>
                  <w:szCs w:val="24"/>
                  <w:u w:val="none"/>
                  <w:lang w:val="en-GB"/>
                </w:rPr>
                <w:t>10.3390/toxins9060178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  <w:szCs w:val="24"/>
                <w:lang w:val="en-GB"/>
              </w:rPr>
              <w:t xml:space="preserve">6. Filek M., Rudolphi-Skórska E., Sieprawska A., Kvasnica M., </w:t>
            </w:r>
            <w:r>
              <w:rPr>
                <w:rFonts w:ascii="Times New Roman" w:hAnsi="Times New Roman"/>
                <w:bCs/>
                <w:color w:themeColor="text1" w:val="000000"/>
                <w:sz w:val="24"/>
                <w:szCs w:val="24"/>
                <w:lang w:val="en-GB"/>
              </w:rPr>
              <w:t xml:space="preserve">Janeczko A. </w:t>
            </w:r>
            <w:r>
              <w:rPr>
                <w:rFonts w:ascii="Times New Roman" w:hAnsi="Times New Roman"/>
                <w:color w:themeColor="text1" w:val="000000"/>
                <w:sz w:val="24"/>
                <w:szCs w:val="24"/>
                <w:lang w:val="en-GB"/>
              </w:rPr>
              <w:t xml:space="preserve">2017. Regulation of the membrane structure by brassinosteroids and progesterone in winter wheat seedlings exposed to low temperature. </w:t>
            </w:r>
            <w:r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Steroids 128, 37-45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8"/>
        <w:gridCol w:w="1068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godzin w kontakcie z prowadzącymi</w:t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 (ćwiczenia, laboratorium itd.)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Pozostałe godziny kontaktu studenta z prowadzącym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godzin pracy studenta bez kontaktu z prowadzącymi</w:t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Lektura w ramach przygotowania do zajęć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krótkiej pracy pisemnej lub referatu po zapoznaniu się z niezbędną literaturą przedmiotu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projektu lub prezentacji na podany temat (praca w grupie)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rPr>
          <w:trHeight w:val="365" w:hRule="atLeast"/>
        </w:trPr>
        <w:tc>
          <w:tcPr>
            <w:tcW w:w="851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bilans czasu pracy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>
        <w:trPr>
          <w:trHeight w:val="392" w:hRule="atLeast"/>
        </w:trPr>
        <w:tc>
          <w:tcPr>
            <w:tcW w:w="851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punktów ECTS w zależności od przyjętego przelicznika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paragraph" w:styleId="Heading2">
    <w:name w:val="Heading 2"/>
    <w:basedOn w:val="Normal"/>
    <w:next w:val="Normal"/>
    <w:link w:val="Nagwek2Znak"/>
    <w:qFormat/>
    <w:rsid w:val="003b0593"/>
    <w:pPr>
      <w:keepNext w:val="true"/>
      <w:widowControl w:val="fals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Pr/>
  </w:style>
  <w:style w:type="character" w:styleId="StopkaZnak" w:customStyle="1">
    <w:name w:val="Stopka Znak"/>
    <w:basedOn w:val="DefaultParagraphFont"/>
    <w:semiHidden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Nagwek2Znak" w:customStyle="1">
    <w:name w:val="Nagłówek 2 Znak"/>
    <w:basedOn w:val="DefaultParagraphFont"/>
    <w:qFormat/>
    <w:rsid w:val="003b0593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74bcf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rsid w:val="004a184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206d89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b0593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cholar.google.pl/citations?view_op=view_citation&amp;hl=pl&amp;user=twjhpcIAAAAJ&amp;citation_for_view=twjhpcIAAAAJ:GtLg2Ama23sC" TargetMode="External"/><Relationship Id="rId3" Type="http://schemas.openxmlformats.org/officeDocument/2006/relationships/hyperlink" Target="http://dx.doi.org/10.3390/toxins9060178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LibreOffice/7.6.1.2$Windows_X86_64 LibreOffice_project/f5defcebd022c5bc36bbb79be232cb6926d8f674</Application>
  <AppVersion>15.0000</AppVersion>
  <Pages>5</Pages>
  <Words>703</Words>
  <Characters>4581</Characters>
  <CharactersWithSpaces>5137</CharactersWithSpaces>
  <Paragraphs>154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2023-09-12T08:28:00Z</dcterms:created>
  <dc:creator>Monika</dc:creator>
  <dc:description/>
  <dc:language>pl-PL</dc:language>
  <cp:lastModifiedBy/>
  <cp:lastPrinted>2012-01-27T06:28:00Z</cp:lastPrinted>
  <dcterms:modified xsi:type="dcterms:W3CDTF">2023-10-04T20:18:25Z</dcterms:modified>
  <cp:revision>3</cp:revision>
  <dc:subject/>
  <dc:title>KARTA KURSU (realizowanego w module specjalności 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