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Biologia, II stopień, niestacjonarne, 2023/2024, semestr zimowy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right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Style w:val="SubtleEmphasis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>KARTA KURSU (realizowanego w module specjalności)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spacing w:val="20"/>
          <w:sz w:val="24"/>
          <w:szCs w:val="28"/>
          <w:lang w:eastAsia="ar-SA"/>
        </w:rPr>
        <w:t>Biologia laboratoryjna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ab/>
        <w:tab/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i/>
          <w:sz w:val="20"/>
          <w:szCs w:val="20"/>
          <w:lang w:eastAsia="pl-PL"/>
        </w:rPr>
        <w:t>(nazwa specjalności)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i/>
          <w:sz w:val="20"/>
          <w:szCs w:val="20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i/>
          <w:sz w:val="20"/>
          <w:szCs w:val="20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84"/>
        <w:gridCol w:w="7655"/>
      </w:tblGrid>
      <w:tr>
        <w:trPr>
          <w:trHeight w:val="395" w:hRule="atLeast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60" w:after="6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Biologia roślin</w:t>
            </w:r>
          </w:p>
        </w:tc>
      </w:tr>
      <w:tr>
        <w:trPr>
          <w:trHeight w:val="379" w:hRule="atLeast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60" w:after="6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Plant biology</w:t>
            </w:r>
          </w:p>
        </w:tc>
      </w:tr>
      <w:tr>
        <w:trPr>
          <w:trHeight w:val="379" w:hRule="atLeast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60" w:after="6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tbl>
      <w:tblPr>
        <w:tblW w:w="9640" w:type="dxa"/>
        <w:jc w:val="left"/>
        <w:tblInd w:w="-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188"/>
        <w:gridCol w:w="3190"/>
        <w:gridCol w:w="3262"/>
      </w:tblGrid>
      <w:tr>
        <w:trPr>
          <w:cantSplit w:val="true"/>
        </w:trPr>
        <w:tc>
          <w:tcPr>
            <w:tcW w:w="3188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</w:rPr>
              <w:t>Dr hab. Michał Nosek</w:t>
            </w:r>
          </w:p>
        </w:tc>
        <w:tc>
          <w:tcPr>
            <w:tcW w:w="32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Zespół dydaktyczny</w:t>
            </w:r>
          </w:p>
        </w:tc>
      </w:tr>
      <w:tr>
        <w:trPr>
          <w:trHeight w:val="344" w:hRule="atLeast"/>
          <w:cantSplit w:val="true"/>
        </w:trPr>
        <w:tc>
          <w:tcPr>
            <w:tcW w:w="3188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19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262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</w:rPr>
              <w:t>Dr hab. Michał Nosek</w:t>
            </w:r>
          </w:p>
        </w:tc>
      </w:tr>
      <w:tr>
        <w:trPr>
          <w:trHeight w:val="57" w:hRule="atLeast"/>
          <w:cantSplit w:val="true"/>
        </w:trPr>
        <w:tc>
          <w:tcPr>
            <w:tcW w:w="3188" w:type="dxa"/>
            <w:tcBorders>
              <w:top w:val="single" w:sz="2" w:space="0" w:color="95B3D7"/>
              <w:bottom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190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262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318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2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ab/>
        <w:tab/>
        <w:tab/>
        <w:tab/>
        <w:tab/>
        <w:tab/>
        <w:tab/>
        <w:tab/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Opis kursu (cele kształcenia)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40"/>
      </w:tblGrid>
      <w:tr>
        <w:trPr>
          <w:trHeight w:val="1365" w:hRule="atLeast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cs="Arial" w:ascii="Arial" w:hAnsi="Arial"/>
                <w:szCs w:val="16"/>
              </w:rPr>
              <w:t>Zaznajomienie z przebiegiem procesów embriogenezy i fizjologii rozwoju roślin. Poznanie modyfikacji budowy anatomicznej roślin, jako adaptacji do warunków środowiska. Przedstawienie elementów systemu przekazywania sygnałów w komórce oraz metod biochemicznych służących do oznaczania reaktywnych form tlenu. Oznaczenie zmian w metabolizmie węglowym. Poznanie istoty procesów mikoryzy. Zapoznanie z reakcją rośliny na infekcje patogenów. Omówienie procesów programowanej śmierci komórki i starzenia u roślin. Omówienie znaczenia roślin dla człowieka i ich wykorzystania.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 xml:space="preserve">Efekty uczenia się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79"/>
        <w:gridCol w:w="5296"/>
        <w:gridCol w:w="2365"/>
      </w:tblGrid>
      <w:tr>
        <w:trPr>
          <w:trHeight w:val="930" w:hRule="atLeast"/>
          <w:cantSplit w:val="true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Efekt uczenia się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Odniesienie do efektów dla specjalności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(określonych w karcie programu studiów dla modułu specjalnościowego)</w:t>
            </w:r>
          </w:p>
        </w:tc>
      </w:tr>
      <w:tr>
        <w:trPr>
          <w:trHeight w:val="1838" w:hRule="atLeast"/>
          <w:cantSplit w:val="true"/>
        </w:trPr>
        <w:tc>
          <w:tcPr>
            <w:tcW w:w="1979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W01</w:t>
            </w:r>
            <w:r>
              <w:rPr>
                <w:rFonts w:cs="Arial" w:ascii="Arial" w:hAnsi="Arial"/>
                <w:sz w:val="20"/>
                <w:szCs w:val="20"/>
              </w:rPr>
              <w:t xml:space="preserve"> Charakteryzuje elementy zaangażowane w system przekazywania sygnałów w komórce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W02</w:t>
            </w:r>
            <w:r>
              <w:rPr>
                <w:rFonts w:cs="Arial" w:ascii="Arial" w:hAnsi="Arial"/>
                <w:sz w:val="20"/>
                <w:szCs w:val="20"/>
              </w:rPr>
              <w:t xml:space="preserve"> Objaśnia istotę i podaje przykłady mikoryzy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W03</w:t>
            </w:r>
            <w:r>
              <w:rPr>
                <w:rFonts w:cs="Arial" w:ascii="Arial" w:hAnsi="Arial"/>
                <w:sz w:val="20"/>
                <w:szCs w:val="20"/>
              </w:rPr>
              <w:t xml:space="preserve"> Omawia zagrożenia wynikające z realizacji metabolizmu tlenowego w komórkach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W04</w:t>
            </w:r>
            <w:r>
              <w:rPr>
                <w:rFonts w:cs="Arial" w:ascii="Arial" w:hAnsi="Arial"/>
                <w:sz w:val="20"/>
                <w:szCs w:val="20"/>
              </w:rPr>
              <w:t xml:space="preserve"> Zna organizację systemu antyoksydacyjnego komórki roślinnej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W05</w:t>
            </w:r>
            <w:r>
              <w:rPr>
                <w:rFonts w:cs="Arial" w:ascii="Arial" w:hAnsi="Arial"/>
                <w:sz w:val="20"/>
                <w:szCs w:val="20"/>
              </w:rPr>
              <w:t xml:space="preserve"> Wyjaśnia mechanizmy patogenezy u rośliny 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W06</w:t>
            </w:r>
            <w:r>
              <w:rPr>
                <w:rFonts w:cs="Arial" w:ascii="Arial" w:hAnsi="Arial"/>
                <w:sz w:val="20"/>
                <w:szCs w:val="20"/>
              </w:rPr>
              <w:t xml:space="preserve"> Charakteryzuje korzyści wynikające z realizacji różnych typów fotosyntezy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W01: </w:t>
            </w:r>
            <w:r>
              <w:rPr>
                <w:rFonts w:cs="Arial" w:ascii="Arial" w:hAnsi="Arial"/>
                <w:sz w:val="20"/>
                <w:szCs w:val="20"/>
              </w:rPr>
              <w:t>W01; W06; W08</w:t>
            </w:r>
          </w:p>
          <w:p>
            <w:pPr>
              <w:pStyle w:val="Normal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W02:</w:t>
            </w:r>
            <w:r>
              <w:rPr>
                <w:rFonts w:cs="Arial" w:ascii="Arial" w:hAnsi="Arial"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W01; W06</w:t>
            </w:r>
          </w:p>
          <w:p>
            <w:pPr>
              <w:pStyle w:val="Normal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W03:</w:t>
            </w:r>
            <w:r>
              <w:rPr>
                <w:rFonts w:cs="Arial" w:ascii="Arial" w:hAnsi="Arial"/>
                <w:sz w:val="20"/>
                <w:szCs w:val="20"/>
              </w:rPr>
              <w:t xml:space="preserve"> W01; W06; W08</w:t>
            </w:r>
          </w:p>
          <w:p>
            <w:pPr>
              <w:pStyle w:val="Normal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W04:</w:t>
            </w:r>
            <w:r>
              <w:rPr>
                <w:rFonts w:cs="Arial" w:ascii="Arial" w:hAnsi="Arial"/>
                <w:sz w:val="20"/>
                <w:szCs w:val="20"/>
              </w:rPr>
              <w:t xml:space="preserve"> W06; W08</w:t>
            </w:r>
          </w:p>
          <w:p>
            <w:pPr>
              <w:pStyle w:val="Normal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W05:</w:t>
            </w:r>
            <w:r>
              <w:rPr>
                <w:rFonts w:cs="Arial" w:ascii="Arial" w:hAnsi="Arial"/>
                <w:sz w:val="20"/>
                <w:szCs w:val="20"/>
              </w:rPr>
              <w:t xml:space="preserve"> W06; W10</w:t>
            </w:r>
          </w:p>
          <w:p>
            <w:pPr>
              <w:pStyle w:val="Normal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W06:</w:t>
            </w:r>
            <w:r>
              <w:rPr>
                <w:rFonts w:cs="Arial" w:ascii="Arial" w:hAnsi="Arial"/>
                <w:sz w:val="20"/>
                <w:szCs w:val="20"/>
              </w:rPr>
              <w:t xml:space="preserve"> W06; W08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246"/>
        <w:gridCol w:w="2410"/>
      </w:tblGrid>
      <w:tr>
        <w:trPr>
          <w:trHeight w:val="939" w:hRule="atLeast"/>
          <w:cantSplit w:val="true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Odniesienie do efektów dla specjalności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(określonych w karcie programu studiów dla modułu specjalność)</w:t>
            </w:r>
          </w:p>
        </w:tc>
      </w:tr>
      <w:tr>
        <w:trPr>
          <w:trHeight w:val="2116" w:hRule="atLeast"/>
          <w:cantSplit w:val="true"/>
        </w:trPr>
        <w:tc>
          <w:tcPr>
            <w:tcW w:w="1984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U01</w:t>
            </w:r>
            <w:r>
              <w:rPr>
                <w:rFonts w:cs="Arial" w:ascii="Arial" w:hAnsi="Arial"/>
                <w:sz w:val="20"/>
                <w:szCs w:val="20"/>
              </w:rPr>
              <w:t xml:space="preserve"> Dokonuje obserwacji z wykorzystaniem mikroskopu stereoskopowego i fluorescencyjnego</w:t>
            </w:r>
          </w:p>
          <w:p>
            <w:pPr>
              <w:pStyle w:val="Normal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U02</w:t>
            </w:r>
            <w:r>
              <w:rPr>
                <w:rFonts w:cs="Arial" w:ascii="Arial" w:hAnsi="Arial"/>
                <w:sz w:val="20"/>
                <w:szCs w:val="20"/>
              </w:rPr>
              <w:t xml:space="preserve"> Zakłada uprawę roślinną w warunkach </w:t>
            </w:r>
            <w:r>
              <w:rPr>
                <w:rFonts w:cs="Arial" w:ascii="Arial" w:hAnsi="Arial"/>
                <w:i/>
                <w:sz w:val="20"/>
                <w:szCs w:val="20"/>
              </w:rPr>
              <w:t>in vitro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U03</w:t>
            </w:r>
            <w:r>
              <w:rPr>
                <w:rFonts w:cs="Arial" w:ascii="Arial" w:hAnsi="Arial"/>
                <w:sz w:val="20"/>
                <w:szCs w:val="20"/>
              </w:rPr>
              <w:t xml:space="preserve"> Stosuje różnorodne techniki barwienia histochemicznego służących do wykrywania reaktywnych form tlenu</w:t>
            </w:r>
          </w:p>
          <w:p>
            <w:pPr>
              <w:pStyle w:val="Normal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U04</w:t>
            </w:r>
            <w:r>
              <w:rPr>
                <w:rFonts w:cs="Arial" w:ascii="Arial" w:hAnsi="Arial"/>
                <w:sz w:val="20"/>
                <w:szCs w:val="20"/>
              </w:rPr>
              <w:t xml:space="preserve"> Prowadzi interakcję mikroorganizm-roślina w warunkach </w:t>
            </w:r>
            <w:r>
              <w:rPr>
                <w:rFonts w:cs="Arial" w:ascii="Arial" w:hAnsi="Arial"/>
                <w:i/>
                <w:sz w:val="20"/>
                <w:szCs w:val="20"/>
              </w:rPr>
              <w:t>in vitro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U05</w:t>
            </w:r>
            <w:r>
              <w:rPr>
                <w:rFonts w:cs="Arial" w:ascii="Arial" w:hAnsi="Arial"/>
                <w:sz w:val="20"/>
                <w:szCs w:val="20"/>
              </w:rPr>
              <w:t xml:space="preserve"> Bada wpływ abiotycznych czynnik stresowych na rośliny w kulturze doniczkowej oraz </w:t>
            </w:r>
            <w:r>
              <w:rPr>
                <w:rFonts w:cs="Arial" w:ascii="Arial" w:hAnsi="Arial"/>
                <w:i/>
                <w:sz w:val="20"/>
                <w:szCs w:val="20"/>
              </w:rPr>
              <w:t>in vitro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U06 </w:t>
            </w:r>
            <w:r>
              <w:rPr>
                <w:rFonts w:cs="Arial" w:ascii="Arial" w:hAnsi="Arial"/>
                <w:sz w:val="20"/>
                <w:szCs w:val="20"/>
              </w:rPr>
              <w:t>Wykorzystuje techniki spektrofotometryczne do oznaczenia podstawowych metabolitów komórki roślinnej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U07</w:t>
            </w:r>
            <w:r>
              <w:rPr>
                <w:rFonts w:cs="Arial" w:ascii="Arial" w:hAnsi="Arial"/>
                <w:sz w:val="20"/>
                <w:szCs w:val="20"/>
              </w:rPr>
              <w:t xml:space="preserve"> Posługuje się procedurami laboratoryjnymi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U01:</w:t>
            </w:r>
            <w:r>
              <w:rPr>
                <w:rFonts w:cs="Arial" w:ascii="Arial" w:hAnsi="Arial"/>
                <w:sz w:val="20"/>
                <w:szCs w:val="20"/>
              </w:rPr>
              <w:t xml:space="preserve"> U03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U02:</w:t>
            </w:r>
            <w:r>
              <w:rPr>
                <w:rFonts w:cs="Arial" w:ascii="Arial" w:hAnsi="Arial"/>
                <w:sz w:val="20"/>
                <w:szCs w:val="20"/>
              </w:rPr>
              <w:t xml:space="preserve"> U03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U03:</w:t>
            </w:r>
            <w:r>
              <w:rPr>
                <w:rFonts w:cs="Arial" w:ascii="Arial" w:hAnsi="Arial"/>
                <w:sz w:val="20"/>
                <w:szCs w:val="20"/>
              </w:rPr>
              <w:t xml:space="preserve"> U03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U04:</w:t>
            </w:r>
            <w:r>
              <w:rPr>
                <w:rFonts w:cs="Arial" w:ascii="Arial" w:hAnsi="Arial"/>
                <w:sz w:val="20"/>
                <w:szCs w:val="20"/>
              </w:rPr>
              <w:t xml:space="preserve"> U03, U05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  <w:t>U05: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U03, U05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  <w:t>U06: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U03, U08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  <w:t>U07: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U03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246"/>
        <w:gridCol w:w="2410"/>
      </w:tblGrid>
      <w:tr>
        <w:trPr>
          <w:trHeight w:val="800" w:hRule="atLeast"/>
          <w:cantSplit w:val="true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Odniesienie do efektów  dla specjalności </w:t>
            </w: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(określonych w karcie programu studiów dla modułu specjalnościowego)</w:t>
            </w:r>
          </w:p>
        </w:tc>
      </w:tr>
      <w:tr>
        <w:trPr>
          <w:trHeight w:val="1984" w:hRule="atLeast"/>
          <w:cantSplit w:val="true"/>
        </w:trPr>
        <w:tc>
          <w:tcPr>
            <w:tcW w:w="1984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K01</w:t>
            </w:r>
            <w:r>
              <w:rPr>
                <w:rFonts w:cs="Arial" w:ascii="Arial" w:hAnsi="Arial"/>
                <w:sz w:val="20"/>
                <w:szCs w:val="20"/>
              </w:rPr>
              <w:t>, Kształtuje w sobie odpowiedzialność za sprzęt oraz własne zachowanie w laboratorium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K02</w:t>
            </w:r>
            <w:r>
              <w:rPr>
                <w:rFonts w:cs="Arial" w:ascii="Arial" w:hAnsi="Arial"/>
                <w:sz w:val="20"/>
                <w:szCs w:val="20"/>
              </w:rPr>
              <w:t>, Uczy się efektywnej pracy indywidualnej, jak i w zespole oraz szacunku wobec pracy współpracowników.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K01:</w:t>
            </w:r>
            <w:r>
              <w:rPr>
                <w:rFonts w:cs="Arial" w:ascii="Arial" w:hAnsi="Arial"/>
                <w:sz w:val="20"/>
                <w:szCs w:val="20"/>
              </w:rPr>
              <w:t xml:space="preserve"> K03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K02:</w:t>
            </w:r>
            <w:r>
              <w:rPr>
                <w:rFonts w:cs="Arial" w:ascii="Arial" w:hAnsi="Arial"/>
                <w:sz w:val="20"/>
                <w:szCs w:val="20"/>
              </w:rPr>
              <w:t xml:space="preserve"> K03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610"/>
        <w:gridCol w:w="1226"/>
        <w:gridCol w:w="850"/>
        <w:gridCol w:w="272"/>
        <w:gridCol w:w="862"/>
        <w:gridCol w:w="315"/>
        <w:gridCol w:w="818"/>
        <w:gridCol w:w="285"/>
        <w:gridCol w:w="850"/>
        <w:gridCol w:w="283"/>
        <w:gridCol w:w="850"/>
        <w:gridCol w:w="285"/>
        <w:gridCol w:w="849"/>
        <w:gridCol w:w="284"/>
      </w:tblGrid>
      <w:tr>
        <w:trPr>
          <w:trHeight w:val="424" w:hRule="exact"/>
          <w:cantSplit w:val="true"/>
        </w:trPr>
        <w:tc>
          <w:tcPr>
            <w:tcW w:w="9639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ind w:left="45" w:right="13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Organizacja</w:t>
            </w:r>
          </w:p>
        </w:tc>
      </w:tr>
      <w:tr>
        <w:trPr>
          <w:trHeight w:val="654" w:hRule="atLeast"/>
          <w:cantSplit w:val="true"/>
        </w:trPr>
        <w:tc>
          <w:tcPr>
            <w:tcW w:w="161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6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Wykład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3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Ćwiczenia w grupach</w:t>
            </w:r>
          </w:p>
        </w:tc>
      </w:tr>
      <w:tr>
        <w:trPr>
          <w:trHeight w:val="477" w:hRule="atLeast"/>
          <w:cantSplit w:val="true"/>
        </w:trPr>
        <w:tc>
          <w:tcPr>
            <w:tcW w:w="161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226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1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4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499" w:hRule="atLeast"/>
        </w:trPr>
        <w:tc>
          <w:tcPr>
            <w:tcW w:w="161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462" w:hRule="atLeast"/>
        </w:trPr>
        <w:tc>
          <w:tcPr>
            <w:tcW w:w="161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2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Zo</w:t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  <w:t>Opis metod prowadzenia zajęć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920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suppressLineNumbers/>
              <w:rPr>
                <w:rFonts w:ascii="Arial" w:hAnsi="Arial" w:cs="Arial"/>
                <w:szCs w:val="16"/>
              </w:rPr>
            </w:pPr>
            <w:r>
              <w:rPr>
                <w:rFonts w:cs="Arial" w:ascii="Arial" w:hAnsi="Arial"/>
                <w:szCs w:val="16"/>
              </w:rPr>
              <w:t>Wykład z wykorzystaniem prezentacji multimedialnych, udział w dyskusji</w:t>
            </w:r>
          </w:p>
          <w:p>
            <w:pPr>
              <w:pStyle w:val="Normal"/>
              <w:suppressLineNumbers/>
              <w:rPr>
                <w:rFonts w:ascii="Arial" w:hAnsi="Arial" w:cs="Arial"/>
                <w:szCs w:val="16"/>
              </w:rPr>
            </w:pPr>
            <w:r>
              <w:rPr>
                <w:rFonts w:cs="Arial" w:ascii="Arial" w:hAnsi="Arial"/>
                <w:szCs w:val="16"/>
              </w:rPr>
              <w:t>Wykład realizowany w formie zdalnej</w:t>
            </w:r>
          </w:p>
          <w:p>
            <w:pPr>
              <w:pStyle w:val="Normal"/>
              <w:spacing w:before="0" w:after="20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cs="Arial" w:ascii="Arial" w:hAnsi="Arial"/>
                <w:szCs w:val="16"/>
              </w:rPr>
              <w:t>Ćwiczenia laboratoryjne</w:t>
            </w:r>
          </w:p>
        </w:tc>
      </w:tr>
    </w:tbl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Formy sprawdzania efektów uczenia się</w:t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7"/>
        <w:gridCol w:w="693"/>
        <w:gridCol w:w="693"/>
        <w:gridCol w:w="694"/>
        <w:gridCol w:w="692"/>
        <w:gridCol w:w="692"/>
        <w:gridCol w:w="691"/>
        <w:gridCol w:w="692"/>
        <w:gridCol w:w="693"/>
        <w:gridCol w:w="692"/>
        <w:gridCol w:w="692"/>
        <w:gridCol w:w="691"/>
        <w:gridCol w:w="692"/>
        <w:gridCol w:w="692"/>
      </w:tblGrid>
      <w:tr>
        <w:trPr>
          <w:trHeight w:val="1616" w:hRule="atLeast"/>
          <w:cantSplit w:val="true"/>
        </w:trPr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E –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Gry dydaktyczne</w:t>
            </w:r>
          </w:p>
        </w:tc>
        <w:tc>
          <w:tcPr>
            <w:tcW w:w="6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Ćwiczenia w szkole</w:t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Zajęcia terenowe</w:t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Praca laboratoryjna</w:t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Projekt indywidualny</w:t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Projekt grupowy</w:t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Udział w dyskusji</w:t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Referat</w:t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Praca pisemna (esej)</w:t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Egzamin ustny</w:t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Egzamin pisemny</w:t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Inne</w:t>
            </w:r>
          </w:p>
        </w:tc>
      </w:tr>
      <w:tr>
        <w:trPr>
          <w:trHeight w:val="244" w:hRule="atLeast"/>
          <w:cantSplit w:val="true"/>
        </w:trPr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W01</w:t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W02</w:t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W03</w:t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W04</w:t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W05</w:t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U01</w:t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U02</w:t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U03</w:t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U04</w:t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U05</w:t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U06</w:t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U07</w:t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K01</w:t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K02</w:t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/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  <w:r>
              <w:rPr>
                <w:rFonts w:cs="Arial" w:ascii="Arial" w:hAnsi="Arial"/>
                <w:sz w:val="22"/>
                <w:szCs w:val="20"/>
              </w:rPr>
              <w:t>Zaliczenie wykładu w oparciu o kontrolę obecności</w:t>
            </w:r>
          </w:p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>Zaliczenie z ćwiczeń na ocenę - uzyskiwane w oparciu o kontrolę obecności oraz sprawdzian pisemny.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>
          <w:trHeight w:val="1089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>Wykład i ćwiczenia – obowiązkowa obecność (wykład – wyrywkowa kontrola) D</w:t>
            </w:r>
            <w:r>
              <w:rPr>
                <w:rFonts w:cs="Arial" w:ascii="Arial" w:hAnsi="Arial"/>
                <w:szCs w:val="16"/>
              </w:rPr>
              <w:t>opuszcza się jedną nieusprawiedliwioną nieobecność na ćwiczeniach.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Treści merytoryczne (wykaz tematów)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136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Arial" w:hAnsi="Arial" w:cs="Arial"/>
                <w:szCs w:val="16"/>
              </w:rPr>
            </w:pPr>
            <w:r>
              <w:rPr>
                <w:rFonts w:cs="Arial" w:ascii="Arial" w:hAnsi="Arial"/>
                <w:szCs w:val="16"/>
              </w:rPr>
              <w:t>Fotosynteza a warunki środowiskowe - działanie aparatu fotosyntetycznego w warunkach multistresu środowiskowego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Arial" w:hAnsi="Arial" w:cs="Arial"/>
                <w:szCs w:val="16"/>
              </w:rPr>
            </w:pPr>
            <w:r>
              <w:rPr>
                <w:rFonts w:cs="Arial" w:ascii="Arial" w:hAnsi="Arial"/>
                <w:szCs w:val="16"/>
              </w:rPr>
              <w:t>Metabolizm tlenowy roślin wyższych i generacja reaktywnych form tlenu (RFT)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Arial" w:hAnsi="Arial" w:cs="Arial"/>
                <w:szCs w:val="16"/>
              </w:rPr>
            </w:pPr>
            <w:r>
              <w:rPr>
                <w:rFonts w:cs="Arial" w:ascii="Arial" w:hAnsi="Arial"/>
                <w:szCs w:val="16"/>
              </w:rPr>
              <w:t>Budowa i funkcjonowanie systemu antyoksydacyjnego roślin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Arial" w:hAnsi="Arial" w:cs="Arial"/>
                <w:szCs w:val="16"/>
              </w:rPr>
            </w:pPr>
            <w:r>
              <w:rPr>
                <w:rFonts w:cs="Arial" w:ascii="Arial" w:hAnsi="Arial"/>
                <w:szCs w:val="16"/>
              </w:rPr>
              <w:t>Systemy przekazywania sygnałów w komórce – integracja metabolizmu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Arial" w:hAnsi="Arial" w:cs="Arial"/>
                <w:szCs w:val="16"/>
              </w:rPr>
            </w:pPr>
            <w:r>
              <w:rPr>
                <w:rFonts w:cs="Arial" w:ascii="Arial" w:hAnsi="Arial"/>
                <w:szCs w:val="16"/>
              </w:rPr>
              <w:t>Mikoryza, pasożytnictwo, patogeneza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Wykaz literatury podstawowej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098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Kopcewicz J. Podstawy biologii roślin. WN PWN, Warszawa 2012 </w:t>
            </w:r>
          </w:p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Kryczyński S., Weber Z. Fitopatologia t. 1. Podstawy fitopatologii. PWRiL, Warszawa 2011</w:t>
            </w:r>
          </w:p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Malepszy S [red.]. Biotechnologia roślin. PWN, Warszawa 2009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cs="Arial" w:ascii="Arial" w:hAnsi="Arial"/>
                <w:sz w:val="20"/>
              </w:rPr>
              <w:t>Molenda J. Rośliny, które zmieniły świat. Replika Wydawnictwo, 2011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Wykaz literatury uzupełniającej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112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Style w:val="Fontstyle01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Fontstyle01"/>
                <w:rFonts w:cs="Arial" w:ascii="Arial" w:hAnsi="Arial"/>
                <w:b w:val="false"/>
                <w:bCs w:val="false"/>
                <w:sz w:val="20"/>
                <w:szCs w:val="20"/>
              </w:rPr>
              <w:t>Nosek M</w:t>
            </w:r>
            <w:r>
              <w:rPr>
                <w:rStyle w:val="Fontstyle21"/>
                <w:rFonts w:cs="Arial" w:ascii="Arial" w:hAnsi="Arial"/>
                <w:sz w:val="20"/>
                <w:szCs w:val="20"/>
              </w:rPr>
              <w:t xml:space="preserve">., Gawrońska K., Rozpądek P., Szechyńska-Hebda M., Kornaś A., Miszalski Z. 2018. </w:t>
            </w:r>
            <w:r>
              <w:rPr>
                <w:rStyle w:val="Fontstyle21"/>
                <w:rFonts w:cs="Arial" w:ascii="Arial" w:hAnsi="Arial"/>
                <w:sz w:val="20"/>
                <w:szCs w:val="20"/>
                <w:lang w:val="en-US"/>
              </w:rPr>
              <w:t>Withdrawal from functional Crassulacean acid metabolism is accompanied by changes in both gene expression and activity of antioxidative enzymes. Journal of Plant Physiology 229, 151-157</w:t>
            </w:r>
          </w:p>
          <w:p>
            <w:pPr>
              <w:pStyle w:val="Normal"/>
              <w:rPr>
                <w:rStyle w:val="Fontstyle21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Fontstyle01"/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Nosek M</w:t>
            </w:r>
            <w:r>
              <w:rPr>
                <w:rStyle w:val="Fontstyle21"/>
                <w:rFonts w:cs="Arial" w:ascii="Arial" w:hAnsi="Arial"/>
                <w:b/>
                <w:bCs/>
                <w:sz w:val="20"/>
                <w:szCs w:val="20"/>
                <w:lang w:val="en-US"/>
              </w:rPr>
              <w:t>.,</w:t>
            </w:r>
            <w:r>
              <w:rPr>
                <w:rStyle w:val="Fontstyle21"/>
                <w:rFonts w:cs="Arial" w:ascii="Arial" w:hAnsi="Arial"/>
                <w:sz w:val="20"/>
                <w:szCs w:val="20"/>
                <w:lang w:val="en-US"/>
              </w:rPr>
              <w:t xml:space="preserve"> Kaczmarczyk A., Śliwa M., Jędrzejczyk R., Kornaś A., Supel P., Kaszycki P., Miszalski Z. 2019. The response of a model C3/CAM intermediate semi-halophyte </w:t>
            </w:r>
            <w:r>
              <w:rPr>
                <w:rStyle w:val="Fontstyle31"/>
                <w:rFonts w:cs="Arial" w:ascii="Arial" w:hAnsi="Arial"/>
                <w:sz w:val="20"/>
                <w:szCs w:val="20"/>
                <w:lang w:val="en-US"/>
              </w:rPr>
              <w:t xml:space="preserve">Mesembryanthemum crystallinum </w:t>
            </w:r>
            <w:r>
              <w:rPr>
                <w:rStyle w:val="Fontstyle21"/>
                <w:rFonts w:cs="Arial" w:ascii="Arial" w:hAnsi="Arial"/>
                <w:sz w:val="20"/>
                <w:szCs w:val="20"/>
                <w:lang w:val="en-US"/>
              </w:rPr>
              <w:t>L. to elevated cadmium concentrations. Journal of Plant Physiology 240</w:t>
            </w:r>
          </w:p>
          <w:p>
            <w:pPr>
              <w:pStyle w:val="Normal"/>
              <w:rPr>
                <w:rFonts w:ascii="Arial" w:hAnsi="Arial" w:cs="Arial"/>
                <w:sz w:val="16"/>
                <w:szCs w:val="12"/>
                <w:lang w:val="en-US"/>
              </w:rPr>
            </w:pPr>
            <w:r>
              <w:rPr>
                <w:rStyle w:val="Fontstyle01"/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Nosek M</w:t>
            </w:r>
            <w:r>
              <w:rPr>
                <w:rStyle w:val="Fontstyle21"/>
                <w:rFonts w:cs="Arial" w:ascii="Arial" w:hAnsi="Arial"/>
                <w:b/>
                <w:bCs/>
                <w:sz w:val="20"/>
                <w:szCs w:val="20"/>
                <w:lang w:val="en-US"/>
              </w:rPr>
              <w:t>.,</w:t>
            </w:r>
            <w:r>
              <w:rPr>
                <w:rStyle w:val="Fontstyle21"/>
                <w:rFonts w:cs="Arial" w:ascii="Arial" w:hAnsi="Arial"/>
                <w:sz w:val="20"/>
                <w:szCs w:val="20"/>
                <w:lang w:val="en-US"/>
              </w:rPr>
              <w:t xml:space="preserve"> Gawrońska K., Rozpądek P., Sujkowska-Rybkowska M., Miszalski Z., Kornaś A. 2021. At the edges of photosynthetic metabolic plasticity-on the rapidity and extent of changes accompanying salinity stress-induced CAM photosynthesis withdrawal. International Journal of Molecular Sciences 22, 8426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cs="Arial" w:ascii="Arial" w:hAnsi="Arial"/>
                <w:sz w:val="20"/>
                <w:szCs w:val="16"/>
                <w:lang w:val="en-US"/>
              </w:rPr>
              <w:t xml:space="preserve">Kurczyńska E.U., Borowska-Wykręt D. 2007. </w:t>
            </w:r>
            <w:r>
              <w:rPr>
                <w:rFonts w:cs="Arial" w:ascii="Arial" w:hAnsi="Arial"/>
                <w:sz w:val="20"/>
                <w:szCs w:val="16"/>
              </w:rPr>
              <w:t>Mikroskopia świetlna w badaniach komórki roślinnej. PWN, Warszawa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cs="Arial" w:ascii="Arial" w:hAnsi="Arial"/>
                <w:sz w:val="20"/>
                <w:szCs w:val="16"/>
              </w:rPr>
              <w:t xml:space="preserve">Malinowski E. 1978. Anatomia roślin. PWN, Warszawa 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cs="Arial" w:ascii="Arial" w:hAnsi="Arial"/>
                <w:sz w:val="20"/>
                <w:szCs w:val="16"/>
                <w:lang w:val="de-DE"/>
              </w:rPr>
              <w:t>Lüttge U., Kluge M., Thiel G. Botanik. WILEY-VCH Verlag GmbH&amp;Co. KGaA, 2010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Bilans godzinowy zgodny z CNPS (Całkowity Nakład Pracy Studenta)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5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66"/>
        <w:gridCol w:w="5749"/>
        <w:gridCol w:w="1067"/>
      </w:tblGrid>
      <w:tr>
        <w:trPr>
          <w:trHeight w:val="334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Wykład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</w:tr>
      <w:tr>
        <w:trPr>
          <w:trHeight w:val="332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</w:tr>
      <w:tr>
        <w:trPr>
          <w:trHeight w:val="67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</w:tr>
      <w:tr>
        <w:trPr>
          <w:trHeight w:val="348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</w:tr>
      <w:tr>
        <w:trPr>
          <w:trHeight w:val="71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731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</w:tr>
      <w:tr>
        <w:trPr>
          <w:trHeight w:val="557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17365D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Przygotowanie do egzaminu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17365D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</w:tr>
      <w:tr>
        <w:trPr>
          <w:trHeight w:val="365" w:hRule="atLeast"/>
        </w:trPr>
        <w:tc>
          <w:tcPr>
            <w:tcW w:w="851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Ogółem bilans czasu pracy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</w:t>
            </w:r>
          </w:p>
        </w:tc>
      </w:tr>
      <w:tr>
        <w:trPr>
          <w:trHeight w:val="392" w:hRule="atLeast"/>
        </w:trPr>
        <w:tc>
          <w:tcPr>
            <w:tcW w:w="851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454" w:top="1258" w:footer="709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  <w:docVars>
    <w:docVar w:name="__Grammarly_42____i" w:val="H4sIAAAAAAAEAKtWckksSQxILCpxzi/NK1GyMqwFAAEhoTITAAAA"/>
    <w:docVar w:name="__Grammarly_42___1" w:val="H4sIAAAAAAAEAKtWcslP9kxRslIyNDYyNLMAIhNDI3NzU1MDAyUdpeDU4uLM/DyQAotaAJpxDVUsAAAA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c1e7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Heading1">
    <w:name w:val="Heading 1"/>
    <w:basedOn w:val="Normal"/>
    <w:next w:val="Normal"/>
    <w:qFormat/>
    <w:rsid w:val="005c1e73"/>
    <w:pPr>
      <w:keepNext w:val="true"/>
      <w:widowControl w:val="false"/>
      <w:suppressAutoHyphens w:val="true"/>
      <w:spacing w:lineRule="auto" w:line="240" w:before="0" w:after="0"/>
      <w:jc w:val="right"/>
      <w:outlineLvl w:val="0"/>
    </w:pPr>
    <w:rPr>
      <w:rFonts w:ascii="Arial" w:hAnsi="Arial" w:eastAsia="Times New Roman" w:cs="Arial"/>
      <w:i/>
      <w:iCs/>
      <w:sz w:val="24"/>
      <w:szCs w:val="2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semiHidden/>
    <w:qFormat/>
    <w:rsid w:val="005c1e73"/>
    <w:rPr/>
  </w:style>
  <w:style w:type="character" w:styleId="StopkaZnak" w:customStyle="1">
    <w:name w:val="Stopka Znak"/>
    <w:basedOn w:val="DefaultParagraphFont"/>
    <w:semiHidden/>
    <w:qFormat/>
    <w:rsid w:val="005c1e73"/>
    <w:rPr/>
  </w:style>
  <w:style w:type="character" w:styleId="SubtleEmphasis">
    <w:name w:val="Subtle Emphasis"/>
    <w:qFormat/>
    <w:rsid w:val="005c1e73"/>
    <w:rPr>
      <w:i/>
      <w:iCs/>
      <w:color w:val="808080"/>
    </w:rPr>
  </w:style>
  <w:style w:type="character" w:styleId="Fontstyle01" w:customStyle="1">
    <w:name w:val="fontstyle01"/>
    <w:basedOn w:val="DefaultParagraphFont"/>
    <w:qFormat/>
    <w:rsid w:val="00612ec8"/>
    <w:rPr>
      <w:rFonts w:ascii="Times New Roman" w:hAnsi="Times New Roman" w:cs="Times New Roman"/>
      <w:b/>
      <w:bCs/>
      <w:i w:val="false"/>
      <w:iCs w:val="false"/>
      <w:color w:val="000000"/>
      <w:sz w:val="24"/>
      <w:szCs w:val="24"/>
    </w:rPr>
  </w:style>
  <w:style w:type="character" w:styleId="Fontstyle21" w:customStyle="1">
    <w:name w:val="fontstyle21"/>
    <w:basedOn w:val="DefaultParagraphFont"/>
    <w:qFormat/>
    <w:rsid w:val="00612ec8"/>
    <w:rPr>
      <w:rFonts w:ascii="Times New Roman" w:hAnsi="Times New Roman" w:cs="Times New Roman"/>
      <w:b w:val="false"/>
      <w:bCs w:val="false"/>
      <w:i w:val="false"/>
      <w:iCs w:val="false"/>
      <w:color w:val="000000"/>
      <w:sz w:val="24"/>
      <w:szCs w:val="24"/>
    </w:rPr>
  </w:style>
  <w:style w:type="character" w:styleId="Fontstyle31" w:customStyle="1">
    <w:name w:val="fontstyle31"/>
    <w:basedOn w:val="DefaultParagraphFont"/>
    <w:qFormat/>
    <w:rsid w:val="00612ec8"/>
    <w:rPr>
      <w:rFonts w:ascii="Times New Roman" w:hAnsi="Times New Roman" w:cs="Times New Roman"/>
      <w:b w:val="false"/>
      <w:bCs w:val="false"/>
      <w:i/>
      <w:iCs/>
      <w:color w:val="000000"/>
      <w:sz w:val="24"/>
      <w:szCs w:val="24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semiHidden/>
    <w:unhideWhenUsed/>
    <w:rsid w:val="005c1e7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semiHidden/>
    <w:unhideWhenUsed/>
    <w:rsid w:val="005c1e7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tabeli" w:customStyle="1">
    <w:name w:val="Zawartość tabeli"/>
    <w:basedOn w:val="Normal"/>
    <w:qFormat/>
    <w:rsid w:val="00c74a90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Tekstdymka1" w:customStyle="1">
    <w:name w:val="Tekst dymka1"/>
    <w:basedOn w:val="Normal"/>
    <w:qFormat/>
    <w:rsid w:val="00c74a90"/>
    <w:pPr>
      <w:widowControl w:val="false"/>
      <w:suppressAutoHyphens w:val="true"/>
      <w:spacing w:lineRule="auto" w:line="240" w:before="0" w:after="0"/>
    </w:pPr>
    <w:rPr>
      <w:rFonts w:ascii="Tahoma" w:hAnsi="Tahoma" w:eastAsia="Times New Roman" w:cs="Tahoma"/>
      <w:sz w:val="16"/>
      <w:szCs w:val="16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LibreOffice/7.6.1.2$Windows_X86_64 LibreOffice_project/f5defcebd022c5bc36bbb79be232cb6926d8f674</Application>
  <AppVersion>15.0000</AppVersion>
  <Pages>5</Pages>
  <Words>824</Words>
  <Characters>5199</Characters>
  <CharactersWithSpaces>5870</CharactersWithSpaces>
  <Paragraphs>171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2020-10-13T09:29:00Z</dcterms:created>
  <dc:creator>Monika</dc:creator>
  <dc:description/>
  <dc:language>pl-PL</dc:language>
  <cp:lastModifiedBy>Michał Nosek</cp:lastModifiedBy>
  <cp:lastPrinted>2012-01-27T06:28:00Z</cp:lastPrinted>
  <dcterms:modified xsi:type="dcterms:W3CDTF">2023-09-13T07:24:00Z</dcterms:modified>
  <cp:revision>16</cp:revision>
  <dc:subject/>
  <dc:title>KARTA KURSU (realizowanego w module specjalności ……………………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