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autoSpaceDE w:val="false"/>
        <w:jc w:val="right"/>
        <w:rPr>
          <w:rFonts w:ascii="Arial" w:hAnsi="Arial" w:cs="Arial"/>
          <w:b/>
          <w:bCs/>
          <w:lang w:val="en-US"/>
        </w:rPr>
      </w:pPr>
      <w:r>
        <w:rPr>
          <w:rFonts w:cs="Arial" w:ascii="Arial" w:hAnsi="Arial"/>
          <w:b/>
          <w:bCs/>
          <w:lang w:val="en-US"/>
        </w:rPr>
      </w:r>
    </w:p>
    <w:p>
      <w:pPr>
        <w:pStyle w:val="Normal"/>
        <w:keepNext w:val="true"/>
        <w:suppressAutoHyphens w:val="true"/>
        <w:autoSpaceDE w:val="false"/>
        <w:jc w:val="right"/>
        <w:rPr/>
      </w:pPr>
      <w:r>
        <w:rPr>
          <w:rFonts w:cs="Arial" w:ascii="Arial" w:hAnsi="Arial"/>
          <w:i/>
          <w:iCs/>
          <w:sz w:val="22"/>
          <w:szCs w:val="22"/>
        </w:rPr>
        <w:t>Załącznik nr  7 do Zarządzenia Nr RD/Z.0201-2/2018</w:t>
      </w:r>
    </w:p>
    <w:p>
      <w:pPr>
        <w:pStyle w:val="Normal"/>
        <w:keepNext w:val="true"/>
        <w:suppressAutoHyphens w:val="true"/>
        <w:autoSpaceDE w:val="false"/>
        <w:jc w:val="right"/>
        <w:rPr>
          <w:rFonts w:ascii="Arial" w:hAnsi="Arial" w:cs="Arial"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keepNext w:val="true"/>
        <w:suppressAutoHyphens w:val="true"/>
        <w:autoSpaceDE w:val="false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keepNext w:val="true"/>
        <w:suppressAutoHyphens w:val="true"/>
        <w:autoSpaceDE w:val="false"/>
        <w:jc w:val="center"/>
        <w:rPr>
          <w:rFonts w:ascii="Calibri" w:hAnsi="Calibri" w:cs="Calibri"/>
          <w:i/>
          <w:i/>
          <w:iCs/>
          <w:color w:val="808080"/>
          <w:sz w:val="22"/>
          <w:szCs w:val="22"/>
        </w:rPr>
      </w:pPr>
      <w:r>
        <w:rPr>
          <w:rFonts w:cs="Arial" w:ascii="Arial" w:hAnsi="Arial"/>
          <w:b/>
          <w:bCs/>
        </w:rPr>
        <w:t>KARTA KURSU (realizowanego w specjalności)</w:t>
      </w:r>
    </w:p>
    <w:p>
      <w:pPr>
        <w:pStyle w:val="Normal"/>
        <w:keepNext w:val="true"/>
        <w:suppressAutoHyphens w:val="true"/>
        <w:autoSpaceDE w:val="false"/>
        <w:jc w:val="center"/>
        <w:rPr>
          <w:rFonts w:ascii="Arial" w:hAnsi="Arial" w:cs="Arial"/>
          <w:b/>
          <w:bCs/>
          <w:i/>
          <w:i/>
          <w:iCs/>
          <w:color w:val="808080"/>
          <w:sz w:val="22"/>
          <w:szCs w:val="22"/>
        </w:rPr>
      </w:pPr>
      <w:r>
        <w:rPr>
          <w:rFonts w:cs="Arial" w:ascii="Arial" w:hAnsi="Arial"/>
          <w:b/>
          <w:bCs/>
          <w:i/>
          <w:iCs/>
          <w:color w:val="808080"/>
          <w:sz w:val="22"/>
          <w:szCs w:val="22"/>
        </w:rPr>
      </w:r>
    </w:p>
    <w:p>
      <w:pPr>
        <w:pStyle w:val="Normal"/>
        <w:keepNext w:val="true"/>
        <w:suppressAutoHyphens w:val="true"/>
        <w:autoSpaceDE w:val="false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keepNext w:val="true"/>
        <w:suppressAutoHyphens w:val="true"/>
        <w:autoSpaceDE w:val="false"/>
        <w:jc w:val="center"/>
        <w:rPr/>
      </w:pPr>
      <w:r>
        <w:rPr>
          <w:rFonts w:cs="Arial" w:ascii="Arial" w:hAnsi="Arial"/>
          <w:b/>
          <w:bCs/>
          <w:lang w:val="en-US"/>
        </w:rPr>
        <w:t>……………</w:t>
      </w:r>
      <w:r>
        <w:rPr>
          <w:rFonts w:cs="Arial" w:ascii="Arial" w:hAnsi="Arial"/>
          <w:b/>
          <w:bCs/>
          <w:lang w:val="en-US"/>
        </w:rPr>
        <w:t>BIOLOGIA LABORATORYJNA………….</w:t>
      </w:r>
    </w:p>
    <w:p>
      <w:pPr>
        <w:pStyle w:val="Normal"/>
        <w:keepNext w:val="true"/>
        <w:suppressAutoHyphens w:val="true"/>
        <w:autoSpaceDE w:val="false"/>
        <w:jc w:val="center"/>
        <w:rPr>
          <w:rFonts w:ascii="Arial" w:hAnsi="Arial" w:cs="Arial"/>
          <w:b/>
          <w:bCs/>
          <w:lang w:val="en-US"/>
        </w:rPr>
      </w:pPr>
      <w:r>
        <w:rPr>
          <w:rFonts w:cs="Arial" w:ascii="Arial" w:hAnsi="Arial"/>
          <w:b/>
          <w:bCs/>
          <w:lang w:val="en-US"/>
        </w:rPr>
        <w:tab/>
        <w:tab/>
      </w:r>
    </w:p>
    <w:p>
      <w:pPr>
        <w:pStyle w:val="Normal"/>
        <w:keepNext w:val="true"/>
        <w:suppressAutoHyphens w:val="true"/>
        <w:autoSpaceDE w:val="false"/>
        <w:jc w:val="center"/>
        <w:rPr/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(nazwa specjalno</w:t>
      </w:r>
      <w:r>
        <w:rPr>
          <w:rFonts w:cs="Arial" w:ascii="Arial" w:hAnsi="Arial"/>
          <w:b/>
          <w:bCs/>
          <w:i/>
          <w:iCs/>
          <w:sz w:val="20"/>
          <w:szCs w:val="20"/>
        </w:rPr>
        <w:t>ści)</w:t>
      </w:r>
    </w:p>
    <w:p>
      <w:pPr>
        <w:pStyle w:val="Normal"/>
        <w:keepNext w:val="true"/>
        <w:suppressAutoHyphens w:val="true"/>
        <w:autoSpaceDE w:val="false"/>
        <w:jc w:val="center"/>
        <w:rPr>
          <w:rFonts w:ascii="Arial" w:hAnsi="Arial" w:cs="Arial"/>
          <w:b/>
          <w:bCs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</w:r>
    </w:p>
    <w:p>
      <w:pPr>
        <w:pStyle w:val="Normal"/>
        <w:keepNext w:val="true"/>
        <w:suppressAutoHyphens w:val="true"/>
        <w:autoSpaceDE w:val="false"/>
        <w:jc w:val="center"/>
        <w:rPr>
          <w:rFonts w:ascii="Arial" w:hAnsi="Arial" w:cs="Arial"/>
          <w:b/>
          <w:bCs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</w:r>
    </w:p>
    <w:p>
      <w:pPr>
        <w:pStyle w:val="Normal"/>
        <w:suppressAutoHyphens w:val="true"/>
        <w:autoSpaceDE w:val="false"/>
        <w:jc w:val="center"/>
        <w:rPr>
          <w:rFonts w:ascii="Arial" w:hAnsi="Arial" w:cs="Arial"/>
          <w:b/>
          <w:bCs/>
          <w:i/>
          <w:i/>
          <w:iCs/>
          <w:sz w:val="22"/>
          <w:szCs w:val="22"/>
          <w:lang w:val="en-US"/>
        </w:rPr>
      </w:pPr>
      <w:r>
        <w:rPr>
          <w:rFonts w:cs="Arial" w:ascii="Arial" w:hAnsi="Arial"/>
          <w:b/>
          <w:bCs/>
          <w:i/>
          <w:iCs/>
          <w:sz w:val="22"/>
          <w:szCs w:val="22"/>
          <w:lang w:val="en-US"/>
        </w:rPr>
      </w:r>
    </w:p>
    <w:tbl>
      <w:tblPr>
        <w:tblW w:w="9640" w:type="dxa"/>
        <w:jc w:val="left"/>
        <w:tblInd w:w="-8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Biologia strukturalna</w:t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Structural biology</w:t>
            </w:r>
          </w:p>
        </w:tc>
      </w:tr>
    </w:tbl>
    <w:p>
      <w:pPr>
        <w:pStyle w:val="Normal"/>
        <w:suppressAutoHyphens w:val="true"/>
        <w:autoSpaceDE w:val="false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tbl>
      <w:tblPr>
        <w:tblW w:w="9640" w:type="dxa"/>
        <w:jc w:val="left"/>
        <w:tblInd w:w="-33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3189"/>
        <w:gridCol w:w="3190"/>
        <w:gridCol w:w="3261"/>
      </w:tblGrid>
      <w:tr>
        <w:trPr>
          <w:trHeight w:val="23" w:hRule="atLeast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dr hab. Ewa Żesławska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Zespó</w:t>
            </w:r>
            <w:r>
              <w:rPr>
                <w:rFonts w:cs="Arial" w:ascii="Arial" w:hAnsi="Arial"/>
                <w:sz w:val="20"/>
                <w:szCs w:val="20"/>
              </w:rPr>
              <w:t>ł dydaktyczny</w:t>
            </w:r>
          </w:p>
        </w:tc>
      </w:tr>
      <w:tr>
        <w:trPr>
          <w:trHeight w:val="344" w:hRule="atLeast"/>
        </w:trPr>
        <w:tc>
          <w:tcPr>
            <w:tcW w:w="318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dr hab. Ewa Żesławska</w:t>
            </w:r>
          </w:p>
        </w:tc>
      </w:tr>
      <w:tr>
        <w:trPr>
          <w:trHeight w:val="57" w:hRule="atLeast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keepNext w:val="true"/>
        <w:suppressAutoHyphens w:val="true"/>
        <w:autoSpaceDE w:val="false"/>
        <w:jc w:val="center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b/>
          <w:bCs/>
          <w:lang w:val="en-US"/>
        </w:rPr>
        <w:tab/>
        <w:tab/>
        <w:tab/>
        <w:tab/>
        <w:tab/>
        <w:tab/>
        <w:tab/>
        <w:tab/>
      </w:r>
    </w:p>
    <w:p>
      <w:pPr>
        <w:pStyle w:val="Normal"/>
        <w:suppressAutoHyphens w:val="true"/>
        <w:autoSpaceDE w:val="false"/>
        <w:jc w:val="center"/>
        <w:rPr>
          <w:rFonts w:ascii="Arial" w:hAnsi="Arial" w:cs="Arial"/>
          <w:i/>
          <w:i/>
          <w:iCs/>
          <w:sz w:val="22"/>
          <w:szCs w:val="22"/>
          <w:lang w:val="en-US"/>
        </w:rPr>
      </w:pPr>
      <w:r>
        <w:rPr>
          <w:rFonts w:cs="Arial" w:ascii="Arial" w:hAnsi="Arial"/>
          <w:i/>
          <w:iCs/>
          <w:sz w:val="22"/>
          <w:szCs w:val="22"/>
          <w:lang w:val="en-US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AutoHyphens w:val="true"/>
        <w:autoSpaceDE w:val="false"/>
        <w:rPr/>
      </w:pPr>
      <w:r>
        <w:rPr>
          <w:rFonts w:cs="Arial" w:ascii="Arial" w:hAnsi="Arial"/>
          <w:sz w:val="22"/>
          <w:szCs w:val="22"/>
          <w:lang w:val="en-US"/>
        </w:rPr>
        <w:t>Opis kursu (cele kszta</w:t>
      </w:r>
      <w:r>
        <w:rPr>
          <w:rFonts w:cs="Arial" w:ascii="Arial" w:hAnsi="Arial"/>
          <w:sz w:val="22"/>
          <w:szCs w:val="22"/>
        </w:rPr>
        <w:t>łcenia)</w:t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640" w:type="dxa"/>
        <w:jc w:val="left"/>
        <w:tblInd w:w="-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"/>
              <w:suppressAutoHyphens w:val="tru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/>
              <w:t>Celem kursu jest zapoznanie studenta z technikami wyznaczania struktur molekuł, a w szczególności z krystalografią rentgenowską, metodami otrzymywania monokryształów, z technikami krystalizacji białek, z oddziaływaniami determinującymi strukturę przestrzenną molekuły, z międzycząsteczkowymi oddziaływaniami odpowiedzialnymi za odpowiedź biologiczną. Słuchacz pozna możliwości wykorzystania programu komputerowego "Mercury" do interpretacji wyników otrzymanych z pomiaru dyfrakcyjnego na monokrysztale, zapozna się z informacjami zawartymi w bazie struktur krystalicznych CSD i w bazie białek PDB.</w:t>
            </w:r>
          </w:p>
        </w:tc>
      </w:tr>
    </w:tbl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/>
      </w:pPr>
      <w:r>
        <w:rPr>
          <w:rFonts w:cs="Arial" w:ascii="Arial" w:hAnsi="Arial"/>
          <w:sz w:val="22"/>
          <w:szCs w:val="22"/>
          <w:lang w:val="en-US"/>
        </w:rPr>
        <w:t>Efekty uczenia si</w:t>
      </w:r>
      <w:r>
        <w:rPr>
          <w:rFonts w:cs="Arial" w:ascii="Arial" w:hAnsi="Arial"/>
          <w:sz w:val="22"/>
          <w:szCs w:val="22"/>
        </w:rPr>
        <w:t>ę</w:t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640" w:type="dxa"/>
        <w:jc w:val="left"/>
        <w:tblInd w:w="-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</w:trPr>
        <w:tc>
          <w:tcPr>
            <w:tcW w:w="197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Wiedza</w:t>
            </w:r>
          </w:p>
        </w:tc>
        <w:tc>
          <w:tcPr>
            <w:tcW w:w="529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Odniesienie do efektów dla specjalności</w:t>
            </w:r>
          </w:p>
          <w:p>
            <w:pPr>
              <w:pStyle w:val="Normal"/>
              <w:suppressAutoHyphens w:val="true"/>
              <w:autoSpaceDE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16"/>
                <w:szCs w:val="16"/>
              </w:rPr>
              <w:t>(określonych w karcie programu studiów dla specjalności)</w:t>
            </w:r>
          </w:p>
        </w:tc>
      </w:tr>
      <w:tr>
        <w:trPr>
          <w:trHeight w:val="1838" w:hRule="atLeast"/>
        </w:trPr>
        <w:tc>
          <w:tcPr>
            <w:tcW w:w="197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9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"/>
              <w:suppressAutoHyphens w:val="true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 Opisuje podstawy teoretyczne rentgenowskiej analizy strukturalnej.</w:t>
            </w:r>
          </w:p>
          <w:p>
            <w:pPr>
              <w:pStyle w:val="Normal"/>
              <w:suppressAutoHyphens w:val="true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  Wymienia i charakteryzuje oddziaływania wewnątrzcząsteczkowe i międzycząsteczkowe determinujące elementy struktury drugorzędowej białek.</w:t>
            </w:r>
          </w:p>
          <w:p>
            <w:pPr>
              <w:pStyle w:val="Normal"/>
              <w:suppressAutoHyphens w:val="true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W03 Orientuje się w dostępnych bazach struktur chemicznych, a w szczególności bazie białek PDB</w:t>
            </w:r>
          </w:p>
          <w:p>
            <w:pPr>
              <w:pStyle w:val="Normal"/>
              <w:suppressAutoHyphens w:val="true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6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"/>
              <w:suppressAutoHyphens w:val="true"/>
              <w:autoSpaceDE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.</w:t>
            </w:r>
          </w:p>
          <w:p>
            <w:pPr>
              <w:pStyle w:val="Normal"/>
              <w:suppressAutoHyphens w:val="true"/>
              <w:autoSpaceDE w:val="false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W04, W10</w:t>
            </w:r>
          </w:p>
        </w:tc>
      </w:tr>
    </w:tbl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640" w:type="dxa"/>
        <w:jc w:val="left"/>
        <w:tblInd w:w="-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939" w:hRule="atLeast"/>
        </w:trPr>
        <w:tc>
          <w:tcPr>
            <w:tcW w:w="198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Umiej</w:t>
            </w:r>
            <w:r>
              <w:rPr>
                <w:rFonts w:cs="Arial" w:ascii="Arial" w:hAnsi="Arial"/>
                <w:sz w:val="20"/>
                <w:szCs w:val="20"/>
              </w:rPr>
              <w:t>ętności</w:t>
            </w:r>
          </w:p>
        </w:tc>
        <w:tc>
          <w:tcPr>
            <w:tcW w:w="524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Odniesienie do efektów dla specjalności</w:t>
            </w:r>
          </w:p>
          <w:p>
            <w:pPr>
              <w:pStyle w:val="Normal"/>
              <w:suppressAutoHyphens w:val="true"/>
              <w:autoSpaceDE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16"/>
                <w:szCs w:val="16"/>
              </w:rPr>
              <w:t>(określonych w karcie programu studiów dla specjalności)</w:t>
            </w:r>
          </w:p>
        </w:tc>
      </w:tr>
      <w:tr>
        <w:trPr>
          <w:trHeight w:val="2116" w:hRule="atLeast"/>
        </w:trPr>
        <w:tc>
          <w:tcPr>
            <w:tcW w:w="198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"/>
              <w:suppressAutoHyphens w:val="true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autoSpaceDE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U01 Umie wykorzystać program komputerowy "Mercury" do analizy oddziaływań międzycząsteczkowych</w:t>
            </w:r>
          </w:p>
          <w:p>
            <w:pPr>
              <w:pStyle w:val="Normal"/>
              <w:suppressAutoHyphens w:val="true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 Ma wiedzę pozwalającą znaleźć informacje o białku zdeponowanym w bazie PDB</w:t>
            </w:r>
          </w:p>
          <w:p>
            <w:pPr>
              <w:pStyle w:val="Normal"/>
              <w:suppressAutoHyphens w:val="tru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"/>
              <w:suppressAutoHyphens w:val="true"/>
              <w:autoSpaceDE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U01, U04</w:t>
            </w:r>
          </w:p>
        </w:tc>
      </w:tr>
    </w:tbl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40" w:type="dxa"/>
        <w:jc w:val="left"/>
        <w:tblInd w:w="-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800" w:hRule="atLeast"/>
        </w:trPr>
        <w:tc>
          <w:tcPr>
            <w:tcW w:w="198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Kompetencje spo</w:t>
            </w:r>
            <w:r>
              <w:rPr>
                <w:rFonts w:cs="Arial" w:ascii="Arial" w:hAnsi="Arial"/>
                <w:sz w:val="20"/>
                <w:szCs w:val="20"/>
              </w:rPr>
              <w:t>łeczne</w:t>
            </w:r>
          </w:p>
        </w:tc>
        <w:tc>
          <w:tcPr>
            <w:tcW w:w="524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Odniesienie do efektów dla specjalności</w:t>
            </w:r>
          </w:p>
          <w:p>
            <w:pPr>
              <w:pStyle w:val="Normal"/>
              <w:suppressAutoHyphens w:val="true"/>
              <w:autoSpaceDE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16"/>
                <w:szCs w:val="16"/>
              </w:rPr>
              <w:t>(określonych w karcie programu studiów dla specjalności)</w:t>
            </w:r>
          </w:p>
        </w:tc>
      </w:tr>
      <w:tr>
        <w:trPr>
          <w:trHeight w:val="1984" w:hRule="atLeast"/>
        </w:trPr>
        <w:tc>
          <w:tcPr>
            <w:tcW w:w="198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 Rozumie konieczność ciągłego rozszerzania wiedzy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K02 Ma nawyk korzystania z uznanych źródeł informacji naukowej oraz posługiwania się zasadami krytycznego wnioskowania przy rozstrzyganiu problemów</w:t>
            </w:r>
          </w:p>
        </w:tc>
        <w:tc>
          <w:tcPr>
            <w:tcW w:w="24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"/>
              <w:suppressAutoHyphens w:val="tru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K06, K07</w:t>
            </w:r>
          </w:p>
        </w:tc>
      </w:tr>
    </w:tbl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40" w:type="dxa"/>
        <w:jc w:val="left"/>
        <w:tblInd w:w="-8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>
        <w:trPr>
          <w:trHeight w:val="424" w:hRule="atLeast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ind w:left="45" w:right="13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Organizacja</w:t>
            </w:r>
          </w:p>
        </w:tc>
      </w:tr>
      <w:tr>
        <w:trPr>
          <w:trHeight w:val="654" w:hRule="atLeast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Forma zaj</w:t>
            </w:r>
            <w:r>
              <w:rPr>
                <w:rFonts w:cs="Arial" w:ascii="Arial" w:hAnsi="Arial"/>
                <w:sz w:val="20"/>
                <w:szCs w:val="20"/>
              </w:rPr>
              <w:t>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Wyk</w:t>
            </w:r>
            <w:r>
              <w:rPr>
                <w:rFonts w:cs="Arial" w:ascii="Arial" w:hAnsi="Arial"/>
                <w:sz w:val="20"/>
                <w:szCs w:val="20"/>
              </w:rPr>
              <w:t>ład</w:t>
            </w:r>
          </w:p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</w:trPr>
        <w:tc>
          <w:tcPr>
            <w:tcW w:w="161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499" w:hRule="atLeast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DBE5F1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462" w:hRule="atLeast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FFFFFF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suppressLineNumbers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LineNumbers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AutoHyphens w:val="true"/>
        <w:autoSpaceDE w:val="false"/>
        <w:rPr/>
      </w:pPr>
      <w:r>
        <w:rPr>
          <w:rFonts w:cs="Arial" w:ascii="Arial" w:hAnsi="Arial"/>
          <w:sz w:val="22"/>
          <w:szCs w:val="22"/>
          <w:lang w:val="en-US"/>
        </w:rPr>
        <w:t>Opis metod prowadzenia zaj</w:t>
      </w:r>
      <w:r>
        <w:rPr>
          <w:rFonts w:cs="Arial" w:ascii="Arial" w:hAnsi="Arial"/>
          <w:sz w:val="22"/>
          <w:szCs w:val="22"/>
        </w:rPr>
        <w:t>ęć</w:t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622" w:type="dxa"/>
        <w:jc w:val="left"/>
        <w:tblInd w:w="-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nyWeb"/>
              <w:autoSpaceDE w:val="false"/>
              <w:spacing w:before="0" w:after="0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Wprowadzenie do zajęć - ustny przekaz informacji z wykorzystaniem prezentacji multimedialnej.</w:t>
            </w:r>
          </w:p>
          <w:p>
            <w:pPr>
              <w:pStyle w:val="NormalnyWeb"/>
              <w:autoSpaceDE w:val="false"/>
              <w:spacing w:before="0" w:after="0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Zajęcia prowadzone z wykorzystaniem komputera: </w:t>
            </w:r>
          </w:p>
          <w:p>
            <w:pPr>
              <w:pStyle w:val="NormalnyWeb"/>
              <w:autoSpaceDE w:val="false"/>
              <w:spacing w:before="0" w:after="0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 Wykorzystanie programu komputerowego "Mercury" do interpretacji informacji zdeponowanych w bazie struktur CDS. Zapoznanie studenta z programem, opracowanie przez studenta sprawozdania dla wskazanej struktury według podanej instrukcji.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2. Zapoznanie studenta z bazą struktur białek PDB dostępną w internecie, przygotowanie przez studenta opracowania dla wskazanego białka według podanej instrukcji.</w:t>
            </w:r>
          </w:p>
          <w:p>
            <w:pPr>
              <w:pStyle w:val="Normal"/>
              <w:suppressLineNumbers/>
              <w:suppressAutoHyphens w:val="true"/>
              <w:autoSpaceDE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uppressLineNumbers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LineNumbers/>
        <w:suppressAutoHyphens w:val="true"/>
        <w:autoSpaceDE w:val="false"/>
        <w:rPr/>
      </w:pPr>
      <w:r>
        <w:rPr>
          <w:rFonts w:cs="Arial" w:ascii="Arial" w:hAnsi="Arial"/>
          <w:sz w:val="22"/>
          <w:szCs w:val="22"/>
          <w:lang w:val="en-US"/>
        </w:rPr>
        <w:t>Formy sprawdzania efektów uczenia si</w:t>
      </w:r>
      <w:r>
        <w:rPr>
          <w:rFonts w:cs="Arial" w:ascii="Arial" w:hAnsi="Arial"/>
          <w:sz w:val="22"/>
          <w:szCs w:val="22"/>
        </w:rPr>
        <w:t>ę</w:t>
      </w:r>
    </w:p>
    <w:p>
      <w:pPr>
        <w:pStyle w:val="Normal"/>
        <w:suppressLineNumbers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(sprawozdanie)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Kolokwium zaliczeniowe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uppressLineNumbers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LineNumbers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LineNumbers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640" w:type="dxa"/>
        <w:jc w:val="left"/>
        <w:tblInd w:w="-8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41"/>
        <w:gridCol w:w="7699"/>
      </w:tblGrid>
      <w:tr>
        <w:trPr>
          <w:trHeight w:val="23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Student przygotowuje dwa sprawozdania z zadanych do wykonania zadań na podstawie bazy CSD i PDB. Zaliczenie sprawozdań jest równoznaczne z zaliczeniem kursu.</w:t>
            </w:r>
          </w:p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40" w:type="dxa"/>
        <w:jc w:val="left"/>
        <w:tblInd w:w="-8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41"/>
        <w:gridCol w:w="7699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pacing w:before="0" w:after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"/>
              <w:suppressLineNumbers/>
              <w:suppressAutoHyphens w:val="true"/>
              <w:autoSpaceDE w:val="false"/>
              <w:snapToGrid w:val="false"/>
              <w:spacing w:before="57" w:after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suppressLineNumbers/>
              <w:suppressAutoHyphens w:val="true"/>
              <w:autoSpaceDE w:val="false"/>
              <w:spacing w:before="57" w:after="5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AutoHyphens w:val="true"/>
        <w:autoSpaceDE w:val="false"/>
        <w:rPr/>
      </w:pPr>
      <w:r>
        <w:rPr>
          <w:rFonts w:cs="Arial" w:ascii="Arial" w:hAnsi="Arial"/>
          <w:sz w:val="22"/>
          <w:szCs w:val="22"/>
          <w:lang w:val="en-US"/>
        </w:rPr>
        <w:t>Tre</w:t>
      </w:r>
      <w:r>
        <w:rPr>
          <w:rFonts w:cs="Arial" w:ascii="Arial" w:hAnsi="Arial"/>
          <w:sz w:val="22"/>
          <w:szCs w:val="22"/>
        </w:rPr>
        <w:t>ści merytoryczne (wykaz tematów)</w:t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622" w:type="dxa"/>
        <w:jc w:val="left"/>
        <w:tblInd w:w="-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nyWeb"/>
              <w:spacing w:before="0" w:after="0"/>
              <w:ind w:left="60" w:right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 xml:space="preserve">1.Charakterystyka technik wykorzystywanych w biologii strukturalnej. </w:t>
            </w:r>
          </w:p>
          <w:p>
            <w:pPr>
              <w:pStyle w:val="NormalnyWeb"/>
              <w:spacing w:before="0" w:after="0"/>
              <w:ind w:left="60" w:right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2. Podstawy teoretyczne wyznaczania struktur krystalicznych.</w:t>
            </w:r>
          </w:p>
          <w:p>
            <w:pPr>
              <w:pStyle w:val="NormalnyWeb"/>
              <w:spacing w:before="0" w:after="0"/>
              <w:ind w:left="60" w:right="0"/>
              <w:rPr/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3. Aminokwasy białkowe, ich budowa, wiązania peptydowe.</w:t>
            </w:r>
          </w:p>
          <w:p>
            <w:pPr>
              <w:pStyle w:val="NormalnyWeb"/>
              <w:spacing w:before="0" w:after="0"/>
              <w:ind w:left="60" w:right="0"/>
              <w:rPr/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 xml:space="preserve">4. Elementy struktury drugorzędowej białka, motywy strukturalne. </w:t>
            </w:r>
          </w:p>
          <w:p>
            <w:pPr>
              <w:pStyle w:val="NormalnyWeb"/>
              <w:spacing w:before="0" w:after="0"/>
              <w:ind w:left="60" w:right="0"/>
              <w:rPr/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5. Techniki krystalizacji białek.</w:t>
            </w:r>
          </w:p>
          <w:p>
            <w:pPr>
              <w:pStyle w:val="NormalnyWeb"/>
              <w:spacing w:before="0" w:after="0"/>
              <w:ind w:left="60" w:right="0"/>
              <w:rPr/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6. Oddziaływania determinujące strukturę przestrzenną molekuły (program Mercury).</w:t>
            </w:r>
          </w:p>
          <w:p>
            <w:pPr>
              <w:pStyle w:val="NormalnyWeb"/>
              <w:spacing w:before="0" w:after="0"/>
              <w:ind w:left="60" w:right="0"/>
              <w:rPr/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7. Oddziaływania odpowiedzialne za odpowiedź biologiczną (program Mercury).</w:t>
            </w:r>
          </w:p>
          <w:p>
            <w:pPr>
              <w:pStyle w:val="NormalnyWeb"/>
              <w:spacing w:before="0" w:after="0"/>
              <w:ind w:left="60" w:right="0"/>
              <w:rPr/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8. Baza PDB - źródło informacji o strukturze i funkcji białek (internet).</w:t>
            </w:r>
          </w:p>
          <w:p>
            <w:pPr>
              <w:pStyle w:val="Normal"/>
              <w:suppressAutoHyphens w:val="tru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Wykaz literatury podstawowej</w:t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622" w:type="dxa"/>
        <w:jc w:val="left"/>
        <w:tblInd w:w="-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"/>
              <w:suppressAutoHyphens w:val="true"/>
              <w:autoSpaceDE w:val="false"/>
              <w:rPr/>
            </w:pPr>
            <w:r>
              <w:rPr>
                <w:rFonts w:cs="Arial" w:ascii="Arial" w:hAnsi="Arial"/>
                <w:lang w:val="en-US"/>
              </w:rPr>
              <w:t>1. G. Rhodes „Crystallography made crystal clear”</w:t>
            </w:r>
          </w:p>
          <w:p>
            <w:pPr>
              <w:pStyle w:val="Normal"/>
              <w:suppressAutoHyphens w:val="true"/>
              <w:autoSpaceDE w:val="false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2. C. Branden &amp; J. Tooze "Introduction to protein structure"</w:t>
            </w:r>
          </w:p>
        </w:tc>
      </w:tr>
    </w:tbl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uppressAutoHyphens w:val="true"/>
        <w:autoSpaceDE w:val="false"/>
        <w:rPr/>
      </w:pPr>
      <w:r>
        <w:rPr>
          <w:rFonts w:cs="Arial" w:ascii="Arial" w:hAnsi="Arial"/>
          <w:sz w:val="22"/>
          <w:szCs w:val="22"/>
          <w:lang w:val="en-US"/>
        </w:rPr>
        <w:t>Wykaz literatury uzupełniającej</w:t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622" w:type="dxa"/>
        <w:jc w:val="left"/>
        <w:tblInd w:w="-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Z. Trzaska-Durski, H. Trzaska-Durska „Podstawy krystalografii strukturalnej i rentgenowskiej”</w:t>
            </w:r>
          </w:p>
          <w:p>
            <w:pPr>
              <w:pStyle w:val="Normal"/>
              <w:suppressAutoHyphens w:val="tru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Bilans godzinowy zgodny z CNPS (Całkowity Nakład Pracy Studenta)</w:t>
      </w:r>
    </w:p>
    <w:p>
      <w:pPr>
        <w:pStyle w:val="Normal"/>
        <w:suppressAutoHyphens w:val="true"/>
        <w:autoSpaceDE w:val="false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58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750"/>
        <w:gridCol w:w="1066"/>
      </w:tblGrid>
      <w:tr>
        <w:trPr>
          <w:trHeight w:val="334" w:hRule="atLeast"/>
        </w:trPr>
        <w:tc>
          <w:tcPr>
            <w:tcW w:w="276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Ilość godzin w konta</w:t>
            </w:r>
            <w:r>
              <w:rPr>
                <w:rFonts w:cs="Arial" w:ascii="Arial" w:hAnsi="Arial"/>
                <w:sz w:val="20"/>
                <w:szCs w:val="20"/>
              </w:rPr>
              <w:t>kcie z prowadzącymi</w:t>
            </w:r>
          </w:p>
        </w:tc>
        <w:tc>
          <w:tcPr>
            <w:tcW w:w="57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Wyk</w:t>
            </w:r>
            <w:r>
              <w:rPr>
                <w:rFonts w:cs="Arial" w:ascii="Arial" w:hAnsi="Arial"/>
                <w:sz w:val="20"/>
                <w:szCs w:val="20"/>
              </w:rPr>
              <w:t>ład</w:t>
            </w:r>
          </w:p>
        </w:tc>
        <w:tc>
          <w:tcPr>
            <w:tcW w:w="10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spacing w:lineRule="auto" w:line="276"/>
              <w:ind w:left="360" w:right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332" w:hRule="atLeast"/>
        </w:trPr>
        <w:tc>
          <w:tcPr>
            <w:tcW w:w="276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57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Konwersatorium (</w:t>
            </w:r>
            <w:r>
              <w:rPr>
                <w:rFonts w:cs="Arial" w:ascii="Arial" w:hAnsi="Arial"/>
                <w:sz w:val="20"/>
                <w:szCs w:val="20"/>
              </w:rPr>
              <w:t>ćwiczenia, laboratorium itd.)</w:t>
            </w:r>
          </w:p>
        </w:tc>
        <w:tc>
          <w:tcPr>
            <w:tcW w:w="10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7</w:t>
            </w:r>
          </w:p>
        </w:tc>
      </w:tr>
      <w:tr>
        <w:trPr>
          <w:trHeight w:val="670" w:hRule="atLeast"/>
        </w:trPr>
        <w:tc>
          <w:tcPr>
            <w:tcW w:w="276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57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5</w:t>
            </w:r>
          </w:p>
        </w:tc>
      </w:tr>
      <w:tr>
        <w:trPr>
          <w:trHeight w:val="348" w:hRule="atLeast"/>
        </w:trPr>
        <w:tc>
          <w:tcPr>
            <w:tcW w:w="276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</w:t>
            </w:r>
          </w:p>
        </w:tc>
      </w:tr>
      <w:tr>
        <w:trPr>
          <w:trHeight w:val="710" w:hRule="atLeast"/>
        </w:trPr>
        <w:tc>
          <w:tcPr>
            <w:tcW w:w="276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7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</w:tr>
      <w:tr>
        <w:trPr>
          <w:trHeight w:val="731" w:hRule="atLeast"/>
        </w:trPr>
        <w:tc>
          <w:tcPr>
            <w:tcW w:w="276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7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spacing w:lineRule="auto" w:line="276"/>
              <w:ind w:left="360" w:righ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276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750" w:type="dxa"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spacing w:lineRule="auto" w:line="276"/>
              <w:ind w:left="360" w:right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Ogó</w:t>
            </w:r>
            <w:r>
              <w:rPr>
                <w:rFonts w:cs="Arial" w:ascii="Arial" w:hAnsi="Arial"/>
                <w:sz w:val="20"/>
                <w:szCs w:val="20"/>
              </w:rPr>
              <w:t>łem bilans czasu pracy</w:t>
            </w:r>
          </w:p>
        </w:tc>
        <w:tc>
          <w:tcPr>
            <w:tcW w:w="10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  <w:t>17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suppressAutoHyphens w:val="true"/>
              <w:autoSpaceDE w:val="false"/>
              <w:spacing w:lineRule="auto" w:line="276"/>
              <w:ind w:left="36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spacing w:lineRule="auto" w:line="276"/>
              <w:ind w:left="360" w:righ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Web">
    <w:name w:val="Normalny (Web)"/>
    <w:basedOn w:val="Normal"/>
    <w:qFormat/>
    <w:pPr>
      <w:spacing w:before="280" w:after="280"/>
    </w:pPr>
    <w:rPr>
      <w:lang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LibreOffice/7.6.1.2$Windows_X86_64 LibreOffice_project/f5defcebd022c5bc36bbb79be232cb6926d8f674</Application>
  <AppVersion>15.0000</AppVersion>
  <Pages>5</Pages>
  <Words>590</Words>
  <Characters>4053</Characters>
  <CharactersWithSpaces>4538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2023-09-19T20:58:00Z</dcterms:created>
  <dc:creator>Ewa</dc:creator>
  <dc:description/>
  <cp:keywords/>
  <dc:language>pl-PL</dc:language>
  <cp:lastModifiedBy>Ewa Żesławska</cp:lastModifiedBy>
  <dcterms:modified xsi:type="dcterms:W3CDTF">2023-10-06T17:30:00Z</dcterms:modified>
  <cp:revision>6</cp:revision>
  <dc:subject/>
  <dc:title>Załącznik nr  7 do Zarządzenia Nr RD/Z</dc:title>
</cp:coreProperties>
</file>