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true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Biologia, 1. stopnia, stacjonarne, 2023/2024, sem. 1</w:t>
      </w:r>
    </w:p>
    <w:p>
      <w:pPr>
        <w:pStyle w:val="Normal"/>
        <w:autoSpaceDE w:val="true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autoSpaceDE w:val="true"/>
        <w:jc w:val="right"/>
        <w:rPr>
          <w:rFonts w:ascii="Arial" w:hAnsi="Arial" w:cs="Arial"/>
          <w:b/>
          <w:bCs/>
          <w:i/>
          <w:i/>
          <w:sz w:val="22"/>
        </w:rPr>
      </w:pPr>
      <w:r>
        <w:rPr>
          <w:rFonts w:cs="Arial" w:ascii="Arial" w:hAnsi="Arial"/>
          <w:b/>
          <w:bCs/>
          <w:i/>
          <w:sz w:val="22"/>
        </w:rPr>
      </w:r>
    </w:p>
    <w:p>
      <w:pPr>
        <w:pStyle w:val="Heading1"/>
        <w:spacing w:before="0" w:after="360"/>
        <w:ind w:hanging="0" w:left="0"/>
        <w:rPr>
          <w:rFonts w:ascii="Arial" w:hAnsi="Arial" w:cs="Arial"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KARTA KURSU</w:t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85"/>
        <w:gridCol w:w="7655"/>
      </w:tblGrid>
      <w:tr>
        <w:trPr>
          <w:trHeight w:val="395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333366"/>
                <w:szCs w:val="20"/>
              </w:rPr>
              <w:t>Chemia analityczna</w:t>
            </w:r>
          </w:p>
        </w:tc>
      </w:tr>
      <w:tr>
        <w:trPr>
          <w:trHeight w:val="379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333366"/>
                <w:szCs w:val="20"/>
              </w:rPr>
              <w:t>Analytical</w:t>
            </w:r>
            <w:r>
              <w:rPr>
                <w:rFonts w:cs="Arial" w:ascii="Arial" w:hAnsi="Arial"/>
                <w:i/>
                <w:iCs/>
                <w:color w:val="333366"/>
                <w:szCs w:val="20"/>
                <w:lang w:val="en-US"/>
              </w:rPr>
              <w:t xml:space="preserve"> Chemistry</w:t>
            </w:r>
          </w:p>
        </w:tc>
      </w:tr>
    </w:tbl>
    <w:p>
      <w:pPr>
        <w:pStyle w:val="Normal"/>
        <w:spacing w:before="0" w:after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89"/>
        <w:gridCol w:w="3190"/>
        <w:gridCol w:w="3261"/>
      </w:tblGrid>
      <w:tr>
        <w:trPr>
          <w:cantSplit w:val="true"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333366"/>
                <w:sz w:val="20"/>
                <w:szCs w:val="20"/>
                <w:lang w:val="en-US"/>
              </w:rPr>
              <w:t>dr Iwona Stawoska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dr Iwona Stawoska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  <w:cantSplit w:val="true"/>
        </w:trPr>
        <w:tc>
          <w:tcPr>
            <w:tcW w:w="3189" w:type="dxa"/>
            <w:tcBorders>
              <w:top w:val="single" w:sz="2" w:space="0" w:color="95B3D7"/>
              <w:bottom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36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spacing w:before="0" w:after="100"/>
        <w:rPr/>
      </w:pPr>
      <w:r>
        <w:rPr>
          <w:rFonts w:cs="Arial" w:ascii="Arial" w:hAnsi="Arial"/>
          <w:sz w:val="22"/>
          <w:szCs w:val="16"/>
        </w:rPr>
        <w:t>Opis kursu (cele kształceni</w:t>
      </w:r>
      <w:r>
        <w:rPr/>
        <w:t>a)</w:t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Kurs ma na celu zapoznanie studentów z podstawami chemii analitycznej (klasycznej i instrumentalnej), pojęciami i terminologią stosowaną w chemii analitycznej, a także kształtowanie umiejętności samodzielnego prowadzenia eksperymentów i wnioskowania na podstawie obserwacji oraz kształtowanie umiejętności wykonywania obliczeń typowych dla chemii analitycznej.</w:t>
            </w:r>
          </w:p>
        </w:tc>
      </w:tr>
    </w:tbl>
    <w:p>
      <w:pPr>
        <w:pStyle w:val="Normal"/>
        <w:spacing w:before="360" w:after="100"/>
        <w:rPr/>
      </w:pPr>
      <w:r>
        <w:rPr/>
        <w:t>Warunki wstępne</w:t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41"/>
        <w:gridCol w:w="7699"/>
      </w:tblGrid>
      <w:tr>
        <w:trPr>
          <w:trHeight w:val="550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Nabyta podczas kursu „Chemia ogólna”</w:t>
            </w:r>
          </w:p>
        </w:tc>
      </w:tr>
      <w:tr>
        <w:trPr>
          <w:trHeight w:val="577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Nabyte podczas realizacji kursu „Chemia ogólna”</w:t>
            </w:r>
          </w:p>
        </w:tc>
      </w:tr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„</w:t>
            </w:r>
            <w:r>
              <w:rPr>
                <w:rFonts w:cs="Arial" w:ascii="Arial" w:hAnsi="Arial"/>
                <w:sz w:val="20"/>
                <w:szCs w:val="20"/>
              </w:rPr>
              <w:t>Chemia ogólna”</w:t>
            </w:r>
          </w:p>
        </w:tc>
      </w:tr>
    </w:tbl>
    <w:p>
      <w:pPr>
        <w:pStyle w:val="Normal"/>
        <w:spacing w:before="360" w:after="10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Efekty uczenia się</w:t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Efekt </w:t>
            </w:r>
            <w:r>
              <w:rPr>
                <w:rFonts w:cs="Arial" w:ascii="Arial" w:hAnsi="Arial"/>
                <w:sz w:val="22"/>
                <w:szCs w:val="16"/>
              </w:rPr>
              <w:t>uczenia się</w:t>
            </w:r>
            <w:r>
              <w:rPr>
                <w:rFonts w:cs="Arial" w:ascii="Arial" w:hAnsi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930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W01. [Student] Objaśnia rolę i zadania chemii analitycznej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N_W05, N_W06</w:t>
            </w:r>
          </w:p>
        </w:tc>
      </w:tr>
      <w:tr>
        <w:trPr>
          <w:trHeight w:val="930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W02. Wskazuje techniki i metody analityczne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N_W05, N_W06</w:t>
            </w:r>
          </w:p>
        </w:tc>
      </w:tr>
      <w:tr>
        <w:trPr>
          <w:trHeight w:val="930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W03. Charakteryzuje etapy procesu analitycznego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N_W05, N_W06</w:t>
            </w:r>
          </w:p>
        </w:tc>
      </w:tr>
      <w:tr>
        <w:trPr>
          <w:trHeight w:val="930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W04. Objaśnia równowagi chemiczne w roztworach wodnych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N_W05, N_W06, N_W07</w:t>
            </w:r>
          </w:p>
        </w:tc>
      </w:tr>
      <w:tr>
        <w:trPr>
          <w:trHeight w:val="900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W05. Definiuje teoretyczne podstawy klasycznej grawimetrycznej analizy ilościowej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N_W06</w:t>
            </w:r>
          </w:p>
        </w:tc>
      </w:tr>
      <w:tr>
        <w:trPr>
          <w:trHeight w:val="900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W06. Objaśnia teoretyczne podstawy klasycznej miareczkowej analizy ilościowej (alkacymetria, redoksymetria, komplesometria, precypitometria)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N_W06</w:t>
            </w:r>
          </w:p>
        </w:tc>
      </w:tr>
      <w:tr>
        <w:trPr>
          <w:trHeight w:val="900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W07.Charakteryzuje wybrane metody instrumentalne wykorzystywane w chemii analitycznej (polarymetria, konduktometria)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N_W06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939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Efekt </w:t>
            </w:r>
            <w:r>
              <w:rPr>
                <w:rFonts w:cs="Arial" w:ascii="Arial" w:hAnsi="Arial"/>
                <w:sz w:val="22"/>
                <w:szCs w:val="16"/>
              </w:rPr>
              <w:t>uczenia się</w:t>
            </w:r>
            <w:r>
              <w:rPr>
                <w:rFonts w:cs="Arial" w:ascii="Arial" w:hAnsi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939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U01. Planuje i przeprowadza eksperymenty chemiczne z zakresu klasycznej analizy ilościowej.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N_U07, N_U08</w:t>
            </w:r>
          </w:p>
        </w:tc>
      </w:tr>
      <w:tr>
        <w:trPr>
          <w:trHeight w:val="1118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U02.. Opisuje i interpretuje wyniki doświadczeń.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N_U07, N_U08</w:t>
            </w:r>
          </w:p>
        </w:tc>
      </w:tr>
      <w:tr>
        <w:trPr>
          <w:trHeight w:val="1118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U03. Wykorzystuje posiadaną wiedzę do rozwiązywania zadań obliczeniowych z zakresu chemii analitycznej (np. obliczenia na podstawie miareczkowania)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N_U07, N_U08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800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800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K01. Sprawnie organizuje pracę laboratoryjną samodzielną i w grupie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N_K02, N_K04</w:t>
            </w:r>
          </w:p>
        </w:tc>
      </w:tr>
      <w:tr>
        <w:trPr>
          <w:trHeight w:val="800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K02. Wykazuje chęć ciągłego pogłębienia wiedzy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B.1K.1, N_K06</w:t>
            </w:r>
          </w:p>
        </w:tc>
      </w:tr>
      <w:tr>
        <w:trPr>
          <w:trHeight w:val="800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K03. Przestrzega procedur BHP obowiązujących w laboratorium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N_K02, N_K04</w:t>
            </w:r>
          </w:p>
        </w:tc>
      </w:tr>
      <w:tr>
        <w:trPr>
          <w:trHeight w:val="829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K04. Postępuje z powierzonym sprzętem laboratoryjnym zgodnie z obowiązującymi procedurami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N_K02, N_K04</w:t>
            </w:r>
          </w:p>
        </w:tc>
      </w:tr>
    </w:tbl>
    <w:p>
      <w:pPr>
        <w:pStyle w:val="Normal"/>
        <w:spacing w:before="360" w:after="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>
        <w:trPr>
          <w:trHeight w:val="424" w:hRule="exact"/>
          <w:cantSplit w:val="true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Z0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spacing w:before="0" w:after="12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metod prowadzenia zajęć</w:t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1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autoSpaceDE w:val="true"/>
              <w:spacing w:before="57" w:after="57"/>
              <w:rPr/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Wykłady</w:t>
            </w:r>
            <w:r>
              <w:rPr>
                <w:rFonts w:cs="Arial" w:ascii="Arial" w:hAnsi="Arial"/>
                <w:sz w:val="20"/>
                <w:szCs w:val="20"/>
              </w:rPr>
              <w:t>: metody podające: prezentacja multimedialna, wykład informacyjny</w:t>
            </w:r>
          </w:p>
          <w:p>
            <w:pPr>
              <w:pStyle w:val="Normal"/>
              <w:widowControl/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Ćwiczenia laboratoryjne:</w:t>
            </w:r>
            <w:r>
              <w:rPr>
                <w:rFonts w:cs="Arial" w:ascii="Arial" w:hAnsi="Arial"/>
                <w:sz w:val="20"/>
                <w:szCs w:val="20"/>
              </w:rPr>
              <w:t xml:space="preserve"> metody aktywizujące i praktyczne, rozwiązywanie zadań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spacing w:before="0" w:after="10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</w:t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C0C0C0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Sprawozdania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W07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spacing w:before="360" w:after="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41"/>
        <w:gridCol w:w="7699"/>
      </w:tblGrid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Forma zaliczenia: </w:t>
            </w:r>
            <w:r>
              <w:rPr>
                <w:rStyle w:val="Strong"/>
                <w:rFonts w:cs="Arial" w:ascii="Arial" w:hAnsi="Arial"/>
                <w:sz w:val="20"/>
                <w:szCs w:val="20"/>
              </w:rPr>
              <w:t>Z/Z0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zaliczenie z wykładu i zaliczenie z oceną z ćwiczeń laboratoryjnych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ćwiczenia laboratoryjne: zaliczenie kolokwium z zakresu tematyki realizowanej na zajęciach laboratoryjnych, wykonanie ćwiczeń praktycznych przewidzianych w harmonogramie, przedstawienie poprawnie przygotowanych pisemnych sprawozdań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- wykład: na podstawie krótkiej  prezentacji ustnej na zadany temat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41"/>
        <w:gridCol w:w="7699"/>
      </w:tblGrid>
      <w:tr>
        <w:trPr>
          <w:trHeight w:val="1089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 – obowiązkowa obecność, wyrywkowa kontrola frekwencji</w:t>
            </w:r>
          </w:p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– obowiązkowa obecność, kontrola obecności na każdych zajęciach</w:t>
            </w:r>
          </w:p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będą prowadzone w języku polskim</w:t>
            </w:r>
          </w:p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Wszystkie zajęcia praktyczne planowane są w trybie stacjonarnym, jednak w sytuacji dodatkowych obostrzeń wynikających z zagrożenia pandemią, możliwe jest prowadzenie zajęć w trybie zdalnym lub hybrydowym</w:t>
            </w:r>
          </w:p>
        </w:tc>
      </w:tr>
    </w:tbl>
    <w:p>
      <w:pPr>
        <w:pStyle w:val="Normal"/>
        <w:spacing w:before="360" w:after="10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Treści merytoryczne (wykaz tematów)</w:t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Rola chemii analitycznej – cele  i zadania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Symbole oznaczeń niebezpieczeństwa związanego z użyciem związków chemicznych w krajach Unii Europejskiej. 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Sposoby wyrażania stężeń roztworów.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Proces analityczny; próbki, sposoby ich pobierania, przechowywania i przygotowania do analizy.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Błędy w pomiarach analitycznych, ocena danych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Wybrane reakcje chemiczne w analizie chemicznej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Analiza ilościowa metodami klasycznymi: analiza grawimetryczna i miareczkowa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Analiza ilościowa wybranymi metodami instrumentalnymi: polarymetria i konduktometria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Wybrane techniki spektrometryczne</w:t>
            </w:r>
          </w:p>
        </w:tc>
      </w:tr>
    </w:tbl>
    <w:p>
      <w:pPr>
        <w:pStyle w:val="Normal"/>
        <w:spacing w:before="360" w:after="100"/>
        <w:rPr/>
      </w:pPr>
      <w:r>
        <w:rPr/>
        <w:t>Wykaz literatury podstawowej</w:t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527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uto" w:line="276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J. Minczewski, Z. Marczenko „Chemia analityczna”,</w:t>
              <w:br/>
              <w:t>PWN, Warszawa 2008, Tom 1 i 2.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D. Kealey, P.J. Haines „Chemia Analityczna. Krótkie wykłady”, PWN, Warszawa, 2015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J.R. Paśko, R Sitko „Ćwiczenia laboratoryjne z chemii ogólnej</w:t>
              <w:br/>
              <w:t>i analitycznej” – skrypt.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J.R. Paśko „Obliczenia chemiczne</w:t>
              <w:br/>
              <w:t>i analitycznej” – skrypt.</w:t>
            </w:r>
          </w:p>
        </w:tc>
      </w:tr>
    </w:tbl>
    <w:p>
      <w:pPr>
        <w:pStyle w:val="Normal"/>
        <w:spacing w:before="360" w:after="100"/>
        <w:rPr/>
      </w:pPr>
      <w:r>
        <w:rPr/>
        <w:t>Wykaz literatury uzupełniającej</w:t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539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z w:val="18"/>
                <w:szCs w:val="18"/>
              </w:rPr>
              <w:t>A. Cygański „Chemiczne metody analizy ilościowej”,</w:t>
              <w:br/>
              <w:t>WNT, Warszawa 2005</w:t>
            </w:r>
          </w:p>
        </w:tc>
      </w:tr>
    </w:tbl>
    <w:p>
      <w:pPr>
        <w:pStyle w:val="BalloonText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alloonText"/>
        <w:spacing w:before="360" w:after="100"/>
        <w:rPr/>
      </w:pPr>
      <w:r>
        <w:rPr/>
        <w:t>Bilans godzinowy zgodny z CNPS (Całkowity Nakład Pracy Studenta)</w:t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5750"/>
        <w:gridCol w:w="1066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30</w:t>
            </w:r>
          </w:p>
        </w:tc>
      </w:tr>
      <w:tr>
        <w:trPr>
          <w:trHeight w:val="42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 (przygotowanie pisemnych sprawozdań)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grupie, wspólna praca nad rozwiązaniem postawionego problemu)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65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62</w:t>
            </w:r>
          </w:p>
        </w:tc>
      </w:tr>
      <w:tr>
        <w:trPr>
          <w:trHeight w:val="392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</w:t>
            </w:r>
          </w:p>
        </w:tc>
      </w:tr>
    </w:tbl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swiss"/>
    <w:pitch w:val="variable"/>
  </w:font>
  <w:font w:name="Calibri">
    <w:charset w:val="00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Calibri" w:hAnsi="Calibri" w:cs="Calibri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true"/>
      <w:jc w:val="center"/>
      <w:outlineLvl w:val="0"/>
    </w:pPr>
    <w:rPr>
      <w:rFonts w:ascii="Verdana" w:hAnsi="Verdana" w:cs="Verdana"/>
      <w:sz w:val="28"/>
      <w:szCs w:val="28"/>
    </w:rPr>
  </w:style>
  <w:style w:type="character" w:styleId="WW8Num1z0">
    <w:name w:val="WW8Num1z0"/>
    <w:qFormat/>
    <w:rPr>
      <w:b w:val="false"/>
      <w:sz w:val="14"/>
      <w:szCs w:val="14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Calibri" w:hAnsi="Calibri" w:cs="Calibri"/>
      <w:sz w:val="20"/>
      <w:szCs w:val="20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position w:val="0"/>
      <w:sz w:val="24"/>
      <w:vertAlign w:val="baseline"/>
      <w:lang w:val="en-US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PageNumber">
    <w:name w:val="Page Number"/>
    <w:rPr>
      <w:sz w:val="14"/>
      <w:szCs w:val="1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przypiswdolnych">
    <w:name w:val="Znaki przypisów dolnych"/>
    <w:qFormat/>
    <w:rPr>
      <w:vertAlign w:val="superscript"/>
    </w:rPr>
  </w:style>
  <w:style w:type="character" w:styleId="StopkaZnak">
    <w:name w:val="Stopka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character" w:styleId="Wrtext">
    <w:name w:val="wrtext"/>
    <w:qFormat/>
    <w:rPr/>
  </w:style>
  <w:style w:type="character" w:styleId="Strong">
    <w:name w:val="Strong"/>
    <w:qFormat/>
    <w:rPr>
      <w:b/>
      <w:bCs/>
    </w:rPr>
  </w:style>
  <w:style w:type="character" w:styleId="HTML-wstpniesformatowanyZnak">
    <w:name w:val="HTML - wstępnie sformatowany Znak"/>
    <w:qFormat/>
    <w:rPr>
      <w:rFonts w:ascii="Courier New" w:hAnsi="Courier New" w:cs="Courier New"/>
      <w:color w:val="000000"/>
      <w:lang w:val="pl-PL"/>
    </w:rPr>
  </w:style>
  <w:style w:type="character" w:styleId="Pagination">
    <w:name w:val="pagination"/>
    <w:qFormat/>
    <w:rPr/>
  </w:style>
  <w:style w:type="character" w:styleId="Doi">
    <w:name w:val="doi"/>
    <w:qFormat/>
    <w:rPr/>
  </w:style>
  <w:style w:type="character" w:styleId="M2007218472135721918gmail-wrtext">
    <w:name w:val="m_2007218472135721918gmail-wrtext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autoSpaceDE w:val="true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>
    <w:name w:val="Zawartość ramki"/>
    <w:basedOn w:val="BodyText"/>
    <w:qFormat/>
    <w:pPr/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kstkomentarza"/>
    <w:next w:val="Tekstkomentarza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  <w:lang w:val="pl-PL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pl-PL" w:bidi="ar-SA" w:eastAsia="zh-CN"/>
    </w:rPr>
  </w:style>
  <w:style w:type="paragraph" w:styleId="BalloonText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HTML-wstpniesformatowany">
    <w:name w:val="HTML - wstępnie sformatowany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autoSpaceDE w:val="true"/>
    </w:pPr>
    <w:rPr>
      <w:rFonts w:ascii="Courier New" w:hAnsi="Courier New" w:cs="Courier New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Application>LibreOffice/7.6.1.2$Windows_X86_64 LibreOffice_project/f5defcebd022c5bc36bbb79be232cb6926d8f674</Application>
  <AppVersion>15.0000</AppVersion>
  <Pages>4</Pages>
  <Words>728</Words>
  <Characters>4777</Characters>
  <CharactersWithSpaces>5314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2023-09-19T00:04:00Z</dcterms:created>
  <dc:creator>Barbara Wilk</dc:creator>
  <dc:description/>
  <cp:keywords/>
  <dc:language>pl-PL</dc:language>
  <cp:lastModifiedBy>i s</cp:lastModifiedBy>
  <cp:lastPrinted>2023-09-18T23:09:00Z</cp:lastPrinted>
  <dcterms:modified xsi:type="dcterms:W3CDTF">2023-10-05T12:25:00Z</dcterms:modified>
  <cp:revision>7</cp:revision>
  <dc:subject/>
  <dc:title>KARTA KURSU</dc:title>
</cp:coreProperties>
</file>