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true"/>
        <w:jc w:val="end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1. stopnia, stacjonarne, 2023/2024, sem. 1</w:t>
      </w:r>
    </w:p>
    <w:p>
      <w:pPr>
        <w:pStyle w:val="Normal"/>
        <w:autoSpaceDE w:val="true"/>
        <w:jc w:val="end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autoSpaceDE w:val="true"/>
        <w:jc w:val="end"/>
        <w:rPr>
          <w:rFonts w:ascii="Arial" w:hAnsi="Arial" w:cs="Arial"/>
          <w:b/>
          <w:bCs/>
          <w:i/>
          <w:i/>
          <w:sz w:val="22"/>
        </w:rPr>
      </w:pPr>
      <w:r>
        <w:rPr>
          <w:rFonts w:cs="Arial" w:ascii="Arial" w:hAnsi="Arial"/>
          <w:b/>
          <w:bCs/>
          <w:i/>
          <w:sz w:val="22"/>
        </w:rPr>
      </w:r>
    </w:p>
    <w:p>
      <w:pPr>
        <w:pStyle w:val="Heading1"/>
        <w:spacing w:before="0" w:after="360"/>
        <w:ind w:hanging="0" w:start="0"/>
        <w:rPr>
          <w:rFonts w:ascii="Arial" w:hAnsi="Arial" w:cs="Arial"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KARTA KURSU</w:t>
      </w:r>
    </w:p>
    <w:tbl>
      <w:tblPr>
        <w:tblW w:w="9640" w:type="dxa"/>
        <w:jc w:val="start"/>
        <w:tblInd w:w="-1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8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33366"/>
                <w:szCs w:val="20"/>
              </w:rPr>
              <w:t>Chemia ogólna</w:t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333366"/>
                <w:szCs w:val="20"/>
              </w:rPr>
              <w:t>General</w:t>
            </w:r>
            <w:r>
              <w:rPr>
                <w:rFonts w:cs="Arial" w:ascii="Arial" w:hAnsi="Arial"/>
                <w:i/>
                <w:iCs/>
                <w:color w:val="333366"/>
                <w:szCs w:val="20"/>
                <w:lang w:val="en-US"/>
              </w:rPr>
              <w:t xml:space="preserve"> Chemistry</w:t>
            </w:r>
          </w:p>
        </w:tc>
      </w:tr>
    </w:tbl>
    <w:p>
      <w:pPr>
        <w:pStyle w:val="Normal"/>
        <w:spacing w:before="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start"/>
        <w:tblInd w:w="-87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189"/>
        <w:gridCol w:w="3190"/>
        <w:gridCol w:w="3261"/>
      </w:tblGrid>
      <w:tr>
        <w:trPr>
          <w:cantSplit w:val="true"/>
        </w:trPr>
        <w:tc>
          <w:tcPr>
            <w:tcW w:w="3189" w:type="dxa"/>
            <w:vMerge w:val="restart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333366"/>
                <w:sz w:val="20"/>
                <w:szCs w:val="20"/>
                <w:lang w:val="en-US"/>
              </w:rPr>
              <w:t>dr Iwona Stawoska</w:t>
            </w:r>
          </w:p>
        </w:tc>
        <w:tc>
          <w:tcPr>
            <w:tcW w:w="326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9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dr hab. prof. UP Ewa Żesławska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dr Agnieszka Kania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dr Iwona Stawoska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36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spacing w:before="0" w:after="100"/>
        <w:rPr/>
      </w:pPr>
      <w:r>
        <w:rPr/>
        <w:t>Opis kursu (cele kształcenia)</w:t>
      </w:r>
    </w:p>
    <w:tbl>
      <w:tblPr>
        <w:tblW w:w="9640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Default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Poznanie podstawowych pojęć oraz zagadnień z zakresu chemii ogólnej tj. </w:t>
            </w:r>
            <w:r>
              <w:rPr>
                <w:rStyle w:val="Wrtext"/>
                <w:rFonts w:cs="Arial" w:ascii="Arial" w:hAnsi="Arial"/>
                <w:color w:val="000000"/>
                <w:sz w:val="20"/>
                <w:szCs w:val="20"/>
              </w:rPr>
              <w:t>budowa elektronowa atomów; układ okresowy pierwiastków chemicznych; zjawisko promieniotwórczości; rodzaje wiązań chemicznych; stężenia roztworów; elektrolity, kwasy i zasady wg teorii: Arrheniusa, Br</w:t>
            </w:r>
            <w:r>
              <w:rPr>
                <w:rStyle w:val="M2007218472135721918gmail-wrtext"/>
                <w:rFonts w:cs="Arial" w:ascii="Arial" w:hAnsi="Arial"/>
                <w:sz w:val="20"/>
                <w:szCs w:val="20"/>
              </w:rPr>
              <w:t>ö</w:t>
            </w:r>
            <w:r>
              <w:rPr>
                <w:rStyle w:val="Wrtext"/>
                <w:rFonts w:cs="Arial" w:ascii="Arial" w:hAnsi="Arial"/>
                <w:color w:val="000000"/>
                <w:sz w:val="20"/>
                <w:szCs w:val="20"/>
              </w:rPr>
              <w:t xml:space="preserve">nsteda i Lowry’ego, Lewisa; pH roztworów; procesy dysocjacji i hydrolizy. Równowaga reakcji chemicznych. Elementy chemii koordynacyjnej. Elementy klasycznej analizy ilościowej i jakościowej. </w:t>
            </w:r>
          </w:p>
          <w:p>
            <w:pPr>
              <w:pStyle w:val="Default"/>
              <w:jc w:val="both"/>
              <w:rPr>
                <w:rStyle w:val="Wrtext"/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Kształtowanie umiejętności poprawnego nazewnictwa związków chemicznych. Poznanie zasad preparatyki chemicznej. Doskonalenie umiejętności obliczeń chemicznych, interpretacji i opisu wyników uzyskanych w efekcie przeprowadzonych eksperymentów. Współpraca w grupie.</w:t>
            </w:r>
          </w:p>
        </w:tc>
      </w:tr>
    </w:tbl>
    <w:p>
      <w:pPr>
        <w:pStyle w:val="Normal"/>
        <w:spacing w:before="360" w:after="100"/>
        <w:rPr/>
      </w:pPr>
      <w:r>
        <w:rPr/>
        <w:t>Warunki wstępne</w:t>
      </w:r>
    </w:p>
    <w:tbl>
      <w:tblPr>
        <w:tblW w:w="9640" w:type="dxa"/>
        <w:jc w:val="start"/>
        <w:tblInd w:w="-87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941"/>
        <w:gridCol w:w="7699"/>
      </w:tblGrid>
      <w:tr>
        <w:trPr>
          <w:trHeight w:val="550" w:hRule="atLeast"/>
        </w:trPr>
        <w:tc>
          <w:tcPr>
            <w:tcW w:w="194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Nabyta w szkole średniej</w:t>
            </w:r>
          </w:p>
        </w:tc>
      </w:tr>
      <w:tr>
        <w:trPr>
          <w:trHeight w:val="577" w:hRule="atLeast"/>
        </w:trPr>
        <w:tc>
          <w:tcPr>
            <w:tcW w:w="194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Nabyte w szkole średniej</w:t>
            </w:r>
          </w:p>
        </w:tc>
      </w:tr>
      <w:tr>
        <w:trPr/>
        <w:tc>
          <w:tcPr>
            <w:tcW w:w="194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</w:t>
            </w:r>
          </w:p>
        </w:tc>
      </w:tr>
    </w:tbl>
    <w:p>
      <w:pPr>
        <w:pStyle w:val="Normal"/>
        <w:spacing w:before="360" w:after="10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tbl>
      <w:tblPr>
        <w:tblW w:w="9640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Efekt </w:t>
            </w:r>
            <w:r>
              <w:rPr>
                <w:rFonts w:cs="Arial" w:ascii="Arial" w:hAnsi="Arial"/>
                <w:sz w:val="22"/>
                <w:szCs w:val="16"/>
              </w:rPr>
              <w:t>uczenia się</w:t>
            </w:r>
            <w:r>
              <w:rPr>
                <w:rFonts w:cs="Arial" w:ascii="Arial" w:hAnsi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93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W01. [Student] Definiuje podstawowe pojęcia dotyczące budowy elektronowej atomów</w:t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K_W01, K_W03</w:t>
            </w:r>
          </w:p>
        </w:tc>
      </w:tr>
      <w:tr>
        <w:trPr>
          <w:trHeight w:val="93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W02. Nazywa związki nieorganiczne zgodnie z obowiązującą nomenklaturą</w:t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K_W03</w:t>
            </w:r>
          </w:p>
        </w:tc>
      </w:tr>
      <w:tr>
        <w:trPr>
          <w:trHeight w:val="93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W03. Charakteryzuje rodzaje wiązań chemicznych</w:t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K_W03 i K_W15</w:t>
            </w:r>
          </w:p>
        </w:tc>
      </w:tr>
      <w:tr>
        <w:trPr>
          <w:trHeight w:val="93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W04. Definiuje </w:t>
            </w:r>
            <w:r>
              <w:rPr>
                <w:rStyle w:val="Wrtext"/>
                <w:rFonts w:cs="Arial" w:ascii="Arial" w:hAnsi="Arial"/>
                <w:sz w:val="20"/>
                <w:szCs w:val="20"/>
              </w:rPr>
              <w:t>kwasy i zasady wg teorii: Arrheniusa,  Br</w:t>
            </w:r>
            <w:r>
              <w:rPr>
                <w:rStyle w:val="M2007218472135721918gmail-wrtext"/>
                <w:rFonts w:cs="Arial" w:ascii="Arial" w:hAnsi="Arial"/>
                <w:sz w:val="20"/>
                <w:szCs w:val="20"/>
              </w:rPr>
              <w:t>ö</w:t>
            </w:r>
            <w:r>
              <w:rPr>
                <w:rStyle w:val="Wrtext"/>
                <w:rFonts w:cs="Arial" w:ascii="Arial" w:hAnsi="Arial"/>
                <w:sz w:val="20"/>
                <w:szCs w:val="20"/>
              </w:rPr>
              <w:t>nsteda i Lowry’ego oraz Lewisa</w:t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K_W03</w:t>
            </w:r>
          </w:p>
        </w:tc>
      </w:tr>
      <w:tr>
        <w:trPr>
          <w:trHeight w:val="90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W05. Charakteryzuje </w:t>
            </w:r>
            <w:r>
              <w:rPr>
                <w:rStyle w:val="Wrtext"/>
                <w:rFonts w:cs="Arial" w:ascii="Arial" w:hAnsi="Arial"/>
                <w:sz w:val="20"/>
                <w:szCs w:val="20"/>
              </w:rPr>
              <w:t>procesy dysocjacji i hydrolizy, wyjaśnia pojęcie pH roztworów</w:t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K_W03, K_W04, K_W19</w:t>
            </w:r>
          </w:p>
        </w:tc>
      </w:tr>
      <w:tr>
        <w:trPr>
          <w:trHeight w:val="90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W06. Tłumaczy stan równowagi reakcji chemicznych</w:t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K_W01, K_W02 i K_W04</w:t>
            </w:r>
          </w:p>
        </w:tc>
      </w:tr>
      <w:tr>
        <w:trPr>
          <w:trHeight w:val="90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Defaul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W07. Objaśnia podstawy </w:t>
            </w:r>
            <w:r>
              <w:rPr>
                <w:rStyle w:val="Wrtext"/>
                <w:rFonts w:cs="Arial" w:ascii="Arial" w:hAnsi="Arial"/>
                <w:color w:val="000000"/>
                <w:sz w:val="20"/>
                <w:szCs w:val="20"/>
              </w:rPr>
              <w:t xml:space="preserve">klasycznej analizy ilościowej i jakościowej </w:t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K_W03 i K_W20</w:t>
            </w:r>
          </w:p>
        </w:tc>
      </w:tr>
      <w:tr>
        <w:trPr>
          <w:trHeight w:val="900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W08.  Wskazuje przepisy BHP obowiązujące w laboratorium chemicznym</w:t>
            </w:r>
          </w:p>
        </w:tc>
        <w:tc>
          <w:tcPr>
            <w:tcW w:w="236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K_W23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985"/>
        <w:gridCol w:w="5245"/>
        <w:gridCol w:w="2410"/>
      </w:tblGrid>
      <w:tr>
        <w:trPr>
          <w:trHeight w:val="939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Efekt </w:t>
            </w:r>
            <w:r>
              <w:rPr>
                <w:rFonts w:cs="Arial" w:ascii="Arial" w:hAnsi="Arial"/>
                <w:sz w:val="22"/>
                <w:szCs w:val="16"/>
              </w:rPr>
              <w:t>uczenia się</w:t>
            </w:r>
            <w:r>
              <w:rPr>
                <w:rFonts w:cs="Arial" w:ascii="Arial" w:hAnsi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939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U01. Poprawnie stosuje aktualne wytyczne dotyczące nomenklatury związków nieorganicznych 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K_U10</w:t>
            </w:r>
          </w:p>
        </w:tc>
      </w:tr>
      <w:tr>
        <w:trPr>
          <w:trHeight w:val="1118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U02. Planuje i przeprowadza proste eksperymenty chemiczne obejmujące reakcje syntezy, rozkładu , wymiany oraz analizy jakościowej i ilościowej wybranych związków chemicznych. Opisuje i interpretuje wyniki doświadczeń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K_U01, K_U07, K_U08</w:t>
            </w:r>
          </w:p>
        </w:tc>
      </w:tr>
      <w:tr>
        <w:trPr>
          <w:trHeight w:val="1118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U03. Wykorzystuje posiadaną wiedzę do rozwiązywania prostych zadań obliczeniowych dotyczących stechiometrii reakcji, stężeń roztworów, pH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K_U09, K_U12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985"/>
        <w:gridCol w:w="5245"/>
        <w:gridCol w:w="2410"/>
      </w:tblGrid>
      <w:tr>
        <w:trPr>
          <w:trHeight w:val="80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800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K01. Sprawnie organizuje pracę laboratoryjną samodzielną i w grupie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K_K03, K_K05</w:t>
            </w:r>
          </w:p>
        </w:tc>
      </w:tr>
      <w:tr>
        <w:trPr>
          <w:trHeight w:val="800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K02. Wykazuje chęć ciągłego pogłębienia wiedzy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K_K01, K_K04</w:t>
            </w:r>
          </w:p>
        </w:tc>
      </w:tr>
      <w:tr>
        <w:trPr>
          <w:trHeight w:val="800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K03. Przestrzega procedur BHP obowiązujących w laboratorium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K_K03, K_K07</w:t>
            </w:r>
          </w:p>
        </w:tc>
      </w:tr>
      <w:tr>
        <w:trPr>
          <w:trHeight w:val="829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K04. Postępuje z powierzonym sprzętem laboratoryjnym zgodnie z obowiązującymi procedurami</w:t>
            </w:r>
          </w:p>
        </w:tc>
        <w:tc>
          <w:tcPr>
            <w:tcW w:w="241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K_K03, K_K07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360" w:after="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start"/>
        <w:tblInd w:w="-1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>
        <w:trPr>
          <w:trHeight w:val="424" w:hRule="exact"/>
          <w:cantSplit w:val="true"/>
        </w:trPr>
        <w:tc>
          <w:tcPr>
            <w:tcW w:w="9640" w:type="dxa"/>
            <w:gridSpan w:val="14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ind w:start="45" w:end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1" w:type="dxa"/>
            <w:vMerge w:val="restart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1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tcMar>
              <w:top w:w="0" w:type="dxa"/>
              <w:start w:w="0" w:type="dxa"/>
              <w:bottom w:w="0" w:type="dxa"/>
              <w:end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spacing w:before="0" w:after="12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metod prowadzenia zajęć</w:t>
      </w:r>
    </w:p>
    <w:tbl>
      <w:tblPr>
        <w:tblW w:w="9622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22"/>
      </w:tblGrid>
      <w:tr>
        <w:trPr>
          <w:trHeight w:val="1116" w:hRule="atLeast"/>
        </w:trPr>
        <w:tc>
          <w:tcPr>
            <w:tcW w:w="962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autoSpaceDE w:val="true"/>
              <w:spacing w:before="57" w:after="57"/>
              <w:rPr/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Wykłady</w:t>
            </w:r>
            <w:r>
              <w:rPr>
                <w:rFonts w:cs="Arial" w:ascii="Arial" w:hAnsi="Arial"/>
                <w:sz w:val="20"/>
                <w:szCs w:val="20"/>
              </w:rPr>
              <w:t>: metody podające: prezentacja multimedialna, wykład informacyjny</w:t>
            </w:r>
          </w:p>
          <w:p>
            <w:pPr>
              <w:pStyle w:val="Normal"/>
              <w:widowControl/>
              <w:suppressAutoHyphens w:val="false"/>
              <w:autoSpaceDE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Ćwiczenia laboratoryjne:</w:t>
            </w:r>
            <w:r>
              <w:rPr>
                <w:rFonts w:cs="Arial" w:ascii="Arial" w:hAnsi="Arial"/>
                <w:sz w:val="20"/>
                <w:szCs w:val="20"/>
              </w:rPr>
              <w:t xml:space="preserve"> metody aktywizujące i praktyczne, rozwiązywanie zadań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spacing w:before="0" w:after="10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tbl>
      <w:tblPr>
        <w:tblW w:w="9621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C0C0C0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snapToGrid w:val="false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 pisemny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start="113" w:end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Sprawozdania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spacing w:before="360" w:after="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start"/>
        <w:tblInd w:w="-1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41"/>
        <w:gridCol w:w="7699"/>
      </w:tblGrid>
      <w:tr>
        <w:trPr/>
        <w:tc>
          <w:tcPr>
            <w:tcW w:w="194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</w:tcPr>
          <w:p>
            <w:pPr>
              <w:pStyle w:val="Zawartotabeli"/>
              <w:spacing w:before="57" w:after="57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Forma zaliczenia: </w:t>
            </w:r>
            <w:r>
              <w:rPr>
                <w:rStyle w:val="Strong"/>
                <w:rFonts w:cs="Arial" w:ascii="Arial" w:hAnsi="Arial"/>
                <w:sz w:val="20"/>
                <w:szCs w:val="20"/>
              </w:rPr>
              <w:t>Z/E</w:t>
            </w:r>
            <w:r>
              <w:rPr>
                <w:rFonts w:cs="Arial" w:ascii="Arial" w:hAnsi="Arial"/>
                <w:sz w:val="20"/>
                <w:szCs w:val="20"/>
              </w:rPr>
              <w:t xml:space="preserve"> – zaliczenie z ćwiczeń i ocena z egzaminu 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ćwiczenia laboratoryjne: zaliczenie dwóch pisemnych kolokwiów z zakresu tematyki realizowanej na zajęciach laboratoryjnych, wykonanie ćwiczeń praktycznych przewidzianych w harmonogramie, przedstawienie poprawnie przygotowanych pisemnych sprawozdań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- wykład: na podstawie wyniku uzyskanego z egzaminu końcowego, obejmującego wszystkie części przedmiotu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start"/>
        <w:tblInd w:w="-1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41"/>
        <w:gridCol w:w="7699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start w:val="single" w:sz="2" w:space="0" w:color="95B3D7"/>
              <w:bottom w:val="single" w:sz="2" w:space="0" w:color="95B3D7"/>
              <w:end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 –obowiązkowa obecność, wyrywkowa kontrola frekwencji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–obowiązkowa obecność, kontrola obecności na każdych zajęciach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będą prowadzone w języku polskim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Wszystkie zajęcia praktyczne planowane są w trybie stacjonarnym, jednak w sytuacji dodatkowych obostrzeń wynikających z zagrożenia pandemią, możliwe jest prowadzenie zajęć w trybie zdalnym lub hybrydowym</w:t>
            </w:r>
          </w:p>
        </w:tc>
      </w:tr>
    </w:tbl>
    <w:p>
      <w:pPr>
        <w:pStyle w:val="Normal"/>
        <w:spacing w:before="360" w:after="10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Treści merytoryczne (wykaz tematów)</w:t>
      </w:r>
    </w:p>
    <w:tbl>
      <w:tblPr>
        <w:tblW w:w="9622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Budowa materii; atom w ujęciu mechaniki kwantowej.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Konfiguracja elektronowa atomów i jonów. 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Zjawisko promieniotwórczości. 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Układ okresowy pierwiastków chemicznych.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Związki nieorganiczne (tlenki, wodorotlenki, kwasy, sole), budowa, sposoby otrzymywania i właściwości chemiczne.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Rodzaje wiązań chemicznych.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rtext"/>
                <w:rFonts w:cs="Arial" w:ascii="Arial" w:hAnsi="Arial"/>
                <w:sz w:val="20"/>
                <w:szCs w:val="20"/>
              </w:rPr>
              <w:t>Kwasy i zasady wg teorii: Arrheniusa, Br</w:t>
            </w:r>
            <w:r>
              <w:rPr>
                <w:rStyle w:val="M2007218472135721918gmail-wrtext"/>
                <w:rFonts w:cs="Arial" w:ascii="Arial" w:hAnsi="Arial"/>
                <w:sz w:val="20"/>
                <w:szCs w:val="20"/>
              </w:rPr>
              <w:t>ö</w:t>
            </w:r>
            <w:r>
              <w:rPr>
                <w:rStyle w:val="Wrtext"/>
                <w:rFonts w:cs="Arial" w:ascii="Arial" w:hAnsi="Arial"/>
                <w:sz w:val="20"/>
                <w:szCs w:val="20"/>
              </w:rPr>
              <w:t>nsteda i Lowry’ego, Lewisa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Elementy chemii koordynacyjnej.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Reakcje odwracalne. Pojęcie równowagi dynamicznej.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pH, iloczyn jonowy wody.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Procesy dysocjacji i hydrolizy. 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Elementy kinetyki chemicznej.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Podstawy klasycznej analizy ilościowej i jakościowej.</w:t>
            </w:r>
          </w:p>
        </w:tc>
      </w:tr>
    </w:tbl>
    <w:p>
      <w:pPr>
        <w:pStyle w:val="Normal"/>
        <w:spacing w:before="360" w:after="1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Wykaz literatury podstawowej</w:t>
      </w:r>
    </w:p>
    <w:tbl>
      <w:tblPr>
        <w:tblW w:w="9622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22"/>
      </w:tblGrid>
      <w:tr>
        <w:trPr>
          <w:trHeight w:val="527" w:hRule="atLeast"/>
        </w:trPr>
        <w:tc>
          <w:tcPr>
            <w:tcW w:w="962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Normal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 A. Bielański, Podstawy Chemii Nieorganicznej, PWN Warszawa, 2008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J.R. Paśko, R. Sitko Ćwiczenia laboratoryjne z chemii ogólne i analitycznej, Wyd. Nauk WSP 1996 r.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J.R. Paśko, Obliczenia chemiczne, Wyd. Nauk WSP 1996 r.</w:t>
            </w:r>
          </w:p>
        </w:tc>
      </w:tr>
    </w:tbl>
    <w:p>
      <w:pPr>
        <w:pStyle w:val="Normal"/>
        <w:spacing w:before="360" w:after="100"/>
        <w:rPr/>
      </w:pPr>
      <w:r>
        <w:rPr/>
        <w:t>Wykaz literatury uzupełniającej</w:t>
      </w:r>
    </w:p>
    <w:tbl>
      <w:tblPr>
        <w:tblW w:w="9622" w:type="dxa"/>
        <w:jc w:val="start"/>
        <w:tblInd w:w="-72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622"/>
      </w:tblGrid>
      <w:tr>
        <w:trPr>
          <w:trHeight w:val="539" w:hRule="atLeast"/>
        </w:trPr>
        <w:tc>
          <w:tcPr>
            <w:tcW w:w="9622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</w:tcPr>
          <w:p>
            <w:pPr>
              <w:pStyle w:val="HTML-wstpniesformatowany"/>
              <w:spacing w:before="0" w:after="1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1. </w:t>
            </w:r>
            <w:r>
              <w:rPr>
                <w:rStyle w:val="Wrtext"/>
                <w:rFonts w:cs="Arial" w:ascii="Arial" w:hAnsi="Arial"/>
                <w:color w:val="000000"/>
              </w:rPr>
              <w:t xml:space="preserve"> L. Jones i P. Atkins, Chemia ogólna - Cząsteczki, materie, reakcje, PWN, Warszawa, 2004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</w:p>
          <w:p>
            <w:pPr>
              <w:pStyle w:val="HTML-wstpniesformatowany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 xml:space="preserve">2.  F.A. Cotton, G. Wilkinson, P.L. Gaus; Chemia nieorganiczna. </w:t>
            </w:r>
            <w:r>
              <w:rPr>
                <w:rFonts w:cs="Arial" w:ascii="Arial" w:hAnsi="Arial"/>
                <w:color w:val="000000"/>
              </w:rPr>
              <w:t>Podstawy, PWN 1995</w:t>
            </w:r>
          </w:p>
          <w:p>
            <w:pPr>
              <w:pStyle w:val="HTML-wstpniesformatowany"/>
              <w:rPr/>
            </w:pPr>
            <w:r>
              <w:rPr>
                <w:rFonts w:cs="Arial" w:ascii="Arial" w:hAnsi="Arial"/>
                <w:color w:val="000000"/>
                <w:lang w:val="en-US"/>
              </w:rPr>
              <w:t>3</w:t>
            </w:r>
            <w:r>
              <w:rPr>
                <w:rFonts w:cs="Arial" w:ascii="Arial" w:hAnsi="Arial"/>
                <w:lang w:val="en-US"/>
              </w:rPr>
              <w:t>. I. Stawoska, A. Wesełucha–Birczyńska, E. Regonesi, M. Riva, P. Tortora, G. Stochel; “</w:t>
            </w:r>
            <w:r>
              <w:rPr>
                <w:rFonts w:cs="Arial" w:ascii="Arial" w:hAnsi="Arial"/>
                <w:i/>
                <w:lang w:val="en-US"/>
              </w:rPr>
              <w:t>Interaction of selected divalent metal ions with Human Ataxin-3 Q36”</w:t>
            </w:r>
            <w:r>
              <w:rPr>
                <w:rFonts w:cs="Arial" w:ascii="Arial" w:hAnsi="Arial"/>
                <w:lang w:val="en-US"/>
              </w:rPr>
              <w:t xml:space="preserve">, </w:t>
            </w:r>
            <w:r>
              <w:rPr>
                <w:rFonts w:cs="Arial" w:ascii="Arial" w:hAnsi="Arial"/>
                <w:lang w:val="en"/>
              </w:rPr>
              <w:t xml:space="preserve">J. Biol. Inorg. Chem. </w:t>
            </w:r>
            <w:r>
              <w:rPr>
                <w:rFonts w:cs="Arial" w:ascii="Arial" w:hAnsi="Arial"/>
                <w:b/>
                <w:lang w:val="en"/>
              </w:rPr>
              <w:t>2009</w:t>
            </w:r>
            <w:r>
              <w:rPr>
                <w:rFonts w:cs="Arial" w:ascii="Arial" w:hAnsi="Arial"/>
                <w:lang w:val="en"/>
              </w:rPr>
              <w:t>, 14, 1175</w:t>
            </w:r>
            <w:r>
              <w:rPr>
                <w:rStyle w:val="Pagination"/>
                <w:rFonts w:cs="Arial" w:ascii="Arial" w:hAnsi="Arial"/>
                <w:lang w:val="en-US"/>
              </w:rPr>
              <w:t>-1185</w:t>
            </w:r>
          </w:p>
          <w:p>
            <w:pPr>
              <w:pStyle w:val="HTML-wstpniesformatowany"/>
              <w:rPr>
                <w:rStyle w:val="PageNumber"/>
                <w:rFonts w:ascii="Arial" w:hAnsi="Arial" w:cs="Arial"/>
                <w:sz w:val="20"/>
                <w:szCs w:val="20"/>
              </w:rPr>
            </w:pPr>
            <w:r>
              <w:rPr>
                <w:rStyle w:val="Pagination"/>
                <w:rFonts w:cs="Arial" w:ascii="Arial" w:hAnsi="Arial"/>
                <w:lang w:val="en-US"/>
              </w:rPr>
              <w:t xml:space="preserve">4. </w:t>
            </w:r>
            <w:r>
              <w:rPr>
                <w:rFonts w:cs="Arial" w:ascii="Arial" w:hAnsi="Arial"/>
                <w:lang w:val="en-US"/>
              </w:rPr>
              <w:t>M. Brindell, I. Sawoska,</w:t>
            </w:r>
            <w:r>
              <w:rPr>
                <w:rFonts w:cs="Arial" w:ascii="Arial" w:hAnsi="Arial"/>
                <w:iCs/>
                <w:lang w:val="en-US"/>
              </w:rPr>
              <w:t xml:space="preserve"> J. Supel</w:t>
            </w:r>
            <w:r>
              <w:rPr>
                <w:rFonts w:cs="Arial" w:ascii="Arial" w:hAnsi="Arial"/>
                <w:i/>
                <w:lang w:val="en-US"/>
              </w:rPr>
              <w:t xml:space="preserve">, </w:t>
            </w:r>
            <w:r>
              <w:rPr>
                <w:rFonts w:cs="Arial" w:ascii="Arial" w:hAnsi="Arial"/>
                <w:iCs/>
                <w:lang w:val="en-US"/>
              </w:rPr>
              <w:t>A. Skoczowski,</w:t>
            </w:r>
            <w:r>
              <w:rPr>
                <w:rFonts w:cs="Arial" w:ascii="Arial" w:hAnsi="Arial"/>
                <w:i/>
                <w:vertAlign w:val="superscript"/>
                <w:lang w:val="en-US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G. Stochel,</w:t>
            </w:r>
            <w:r>
              <w:rPr>
                <w:rFonts w:cs="Arial" w:ascii="Arial" w:hAnsi="Arial"/>
                <w:iCs/>
                <w:lang w:val="en-US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 xml:space="preserve">R. van Eldik; </w:t>
            </w:r>
            <w:r>
              <w:rPr>
                <w:rFonts w:cs="Arial" w:ascii="Arial" w:hAnsi="Arial"/>
                <w:bCs/>
                <w:lang w:val="en-US"/>
              </w:rPr>
              <w:t xml:space="preserve">The reduction of </w:t>
            </w:r>
            <w:r>
              <w:rPr>
                <w:rStyle w:val="PageNumber"/>
                <w:rFonts w:cs="Arial" w:ascii="Arial" w:hAnsi="Arial"/>
                <w:bCs/>
                <w:sz w:val="20"/>
                <w:szCs w:val="20"/>
                <w:lang w:val="en-US"/>
              </w:rPr>
              <w:t>(ImH)[</w:t>
            </w:r>
            <w:r>
              <w:rPr>
                <w:rStyle w:val="PageNumber"/>
                <w:rFonts w:cs="Arial" w:ascii="Arial" w:hAnsi="Arial"/>
                <w:bCs/>
                <w:iCs/>
                <w:sz w:val="20"/>
                <w:szCs w:val="20"/>
                <w:lang w:val="en-US"/>
              </w:rPr>
              <w:t>trans</w:t>
            </w:r>
            <w:r>
              <w:rPr>
                <w:rStyle w:val="PageNumber"/>
                <w:rFonts w:cs="Arial" w:ascii="Arial" w:hAnsi="Arial"/>
                <w:bCs/>
                <w:sz w:val="20"/>
                <w:szCs w:val="20"/>
                <w:lang w:val="en-US"/>
              </w:rPr>
              <w:t>-Ru</w:t>
            </w:r>
            <w:r>
              <w:rPr>
                <w:rStyle w:val="PageNumber"/>
                <w:rFonts w:cs="Arial" w:ascii="Arial" w:hAnsi="Arial"/>
                <w:bCs/>
                <w:sz w:val="20"/>
                <w:szCs w:val="20"/>
                <w:vertAlign w:val="superscript"/>
                <w:lang w:val="en-US"/>
              </w:rPr>
              <w:t>III</w:t>
            </w:r>
            <w:r>
              <w:rPr>
                <w:rStyle w:val="PageNumber"/>
                <w:rFonts w:cs="Arial" w:ascii="Arial" w:hAnsi="Arial"/>
                <w:bCs/>
                <w:sz w:val="20"/>
                <w:szCs w:val="20"/>
                <w:lang w:val="en-US"/>
              </w:rPr>
              <w:t>Cl</w:t>
            </w:r>
            <w:r>
              <w:rPr>
                <w:rStyle w:val="PageNumber"/>
                <w:rFonts w:cs="Arial" w:ascii="Arial" w:hAnsi="Arial"/>
                <w:bCs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Style w:val="PageNumber"/>
                <w:rFonts w:cs="Arial" w:ascii="Arial" w:hAnsi="Arial"/>
                <w:bCs/>
                <w:sz w:val="20"/>
                <w:szCs w:val="20"/>
                <w:lang w:val="en-US"/>
              </w:rPr>
              <w:t xml:space="preserve">(dmso)(Im)] </w:t>
            </w:r>
            <w:r>
              <w:rPr>
                <w:rFonts w:cs="Arial" w:ascii="Arial" w:hAnsi="Arial"/>
                <w:bCs/>
                <w:lang w:val="en-US"/>
              </w:rPr>
              <w:t xml:space="preserve">under physiological conditions. Preferential reaction of the reduced complex with human serum albumin, </w:t>
            </w:r>
            <w:r>
              <w:rPr>
                <w:rStyle w:val="PageNumber"/>
                <w:rFonts w:cs="Arial" w:ascii="Arial" w:hAnsi="Arial"/>
                <w:i/>
                <w:sz w:val="20"/>
                <w:szCs w:val="20"/>
                <w:lang w:val="en-US"/>
              </w:rPr>
              <w:t xml:space="preserve">J. Biol. Inorg. </w:t>
            </w:r>
            <w:r>
              <w:rPr>
                <w:rStyle w:val="PageNumber"/>
                <w:rFonts w:cs="Arial" w:ascii="Arial" w:hAnsi="Arial"/>
                <w:i/>
                <w:sz w:val="20"/>
                <w:szCs w:val="20"/>
              </w:rPr>
              <w:t>Chem</w:t>
            </w:r>
            <w:r>
              <w:rPr>
                <w:rStyle w:val="PageNumber"/>
                <w:rFonts w:cs="Arial" w:ascii="Arial" w:hAnsi="Arial"/>
                <w:sz w:val="20"/>
                <w:szCs w:val="20"/>
              </w:rPr>
              <w:t xml:space="preserve">., </w:t>
            </w:r>
            <w:r>
              <w:rPr>
                <w:rStyle w:val="PageNumber"/>
                <w:rFonts w:cs="Arial" w:ascii="Arial" w:hAnsi="Arial"/>
                <w:b/>
                <w:sz w:val="20"/>
                <w:szCs w:val="20"/>
              </w:rPr>
              <w:t>2008</w:t>
            </w:r>
            <w:r>
              <w:rPr>
                <w:rStyle w:val="PageNumber"/>
                <w:rFonts w:cs="Arial" w:ascii="Arial" w:hAnsi="Arial"/>
                <w:sz w:val="20"/>
                <w:szCs w:val="20"/>
              </w:rPr>
              <w:t>, 13, 909–918</w:t>
            </w:r>
          </w:p>
          <w:p>
            <w:pPr>
              <w:pStyle w:val="HTML-wstpniesformatowany"/>
              <w:rPr>
                <w:rStyle w:val="PageNumber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ageNumber"/>
                <w:rFonts w:cs="Arial" w:ascii="Arial" w:hAnsi="Arial"/>
                <w:sz w:val="20"/>
                <w:szCs w:val="20"/>
              </w:rPr>
              <w:t>5.</w:t>
            </w:r>
            <w:r>
              <w:rPr>
                <w:rFonts w:cs="Arial" w:ascii="Arial" w:hAnsi="Arial"/>
              </w:rPr>
              <w:t xml:space="preserve"> M. Brindell, J.M. Dąbrowski, S. Gawęda, A. Jańczyk, A. Kania, A. Karocki, E. Kuliś, J. Kuncewicz, P. Łabuz, W. Macyk, Ł. Orzeł, A. Podborska, Z. Stasicka, G. Stopa, A. Susz, K. Szaciłowski, E. Wasielewska, Z. Wołek i G., Stochel, „Od prostych kompleksów Wernera do zaawansowanych układów funkcjonalnych”, </w:t>
            </w:r>
            <w:r>
              <w:rPr>
                <w:rFonts w:cs="Arial" w:ascii="Arial" w:hAnsi="Arial"/>
                <w:i/>
                <w:iCs/>
              </w:rPr>
              <w:t>Wiadomości Chemiczne Biblioteka</w:t>
            </w:r>
            <w:r>
              <w:rPr>
                <w:rFonts w:cs="Arial" w:ascii="Arial" w:hAnsi="Arial"/>
              </w:rPr>
              <w:t>, Chemia koordynacyjna w Polsce, Cz. I, Wrocław 2008, ISBN 978-83-60043-20-2 (liczba stron: 792, format B5)  p. 145-175.</w:t>
            </w:r>
          </w:p>
          <w:p>
            <w:pPr>
              <w:pStyle w:val="HTML-wstpniesformatowany"/>
              <w:rPr>
                <w:rStyle w:val="PageNumber"/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BalloonText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alloonText"/>
        <w:spacing w:before="360" w:after="100"/>
        <w:rPr/>
      </w:pPr>
      <w:r>
        <w:rPr/>
        <w:t>Bilans godzinowy zgodny z CNPS (Całkowity Nakład Pracy Studenta)</w:t>
      </w:r>
    </w:p>
    <w:tbl>
      <w:tblPr>
        <w:tblW w:w="958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766"/>
        <w:gridCol w:w="5750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40</w:t>
            </w:r>
          </w:p>
        </w:tc>
      </w:tr>
      <w:tr>
        <w:trPr>
          <w:trHeight w:val="42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start="360" w:end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 (przygotowanie pisemnych sprawozdań)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start="360" w:end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grupie, wspólna praca nad rozwiązaniem postawionego problemu)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start="360" w:end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start="360" w:end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25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125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start w:val="single" w:sz="4" w:space="0" w:color="95B3D7"/>
              <w:bottom w:val="single" w:sz="4" w:space="0" w:color="95B3D7"/>
              <w:end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start="360" w:end="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</w:tbl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Verdana">
    <w:charset w:val="ee" w:characterSet="windows-1250"/>
    <w:family w:val="swiss"/>
    <w:pitch w:val="variable"/>
  </w:font>
  <w:font w:name="Calibri">
    <w:charset w:val="ee" w:characterSet="windows-1250"/>
    <w:family w:val="swiss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Tahoma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end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0"/>
        <w:szCs w:val="20"/>
        <w:rFonts w:ascii="Calibri" w:hAnsi="Calibri" w:cs="Calibri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true"/>
      <w:jc w:val="center"/>
      <w:outlineLvl w:val="0"/>
    </w:pPr>
    <w:rPr>
      <w:rFonts w:ascii="Verdana" w:hAnsi="Verdana" w:cs="Verdana"/>
      <w:sz w:val="28"/>
      <w:szCs w:val="28"/>
    </w:rPr>
  </w:style>
  <w:style w:type="character" w:styleId="WW8Num1z0">
    <w:name w:val="WW8Num1z0"/>
    <w:qFormat/>
    <w:rPr>
      <w:b w:val="false"/>
      <w:sz w:val="14"/>
      <w:szCs w:val="14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Calibri" w:hAnsi="Calibri" w:cs="Calibri"/>
      <w:sz w:val="20"/>
      <w:szCs w:val="20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position w:val="0"/>
      <w:sz w:val="24"/>
      <w:vertAlign w:val="baseline"/>
      <w:lang w:val="en-U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PageNumber">
    <w:name w:val="Page Number"/>
    <w:rPr>
      <w:sz w:val="14"/>
      <w:szCs w:val="1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przypiswdolnych">
    <w:name w:val="Znaki przypisów dolnych"/>
    <w:qFormat/>
    <w:rPr>
      <w:vertAlign w:val="superscript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Wrtext">
    <w:name w:val="wrtext"/>
    <w:qFormat/>
    <w:rPr/>
  </w:style>
  <w:style w:type="character" w:styleId="Strong">
    <w:name w:val="Strong"/>
    <w:qFormat/>
    <w:rPr>
      <w:b/>
      <w:bCs/>
    </w:rPr>
  </w:style>
  <w:style w:type="character" w:styleId="HTML-wstpniesformatowanyZnak">
    <w:name w:val="HTML - wstępnie sformatowany Znak"/>
    <w:qFormat/>
    <w:rPr>
      <w:rFonts w:ascii="Courier New" w:hAnsi="Courier New" w:cs="Courier New"/>
      <w:color w:val="000000"/>
      <w:lang w:val="pl-PL"/>
    </w:rPr>
  </w:style>
  <w:style w:type="character" w:styleId="Pagination">
    <w:name w:val="pagination"/>
    <w:qFormat/>
    <w:rPr/>
  </w:style>
  <w:style w:type="character" w:styleId="Doi">
    <w:name w:val="doi"/>
    <w:qFormat/>
    <w:rPr/>
  </w:style>
  <w:style w:type="character" w:styleId="M2007218472135721918gmail-wrtext">
    <w:name w:val="m_2007218472135721918gmail-wrtex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autoSpaceDE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>
    <w:name w:val="Zawartość ramki"/>
    <w:basedOn w:val="BodyText"/>
    <w:qFormat/>
    <w:pPr/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"/>
    <w:next w:val="Tekstkomentarza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  <w:lang w:val="pl-PL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bidi="ar-SA" w:eastAsia="zh-CN"/>
    </w:rPr>
  </w:style>
  <w:style w:type="paragraph" w:styleId="BalloonText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HTML-wstpniesformatowany">
    <w:name w:val="HTML - wstępnie sformatowany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autoSpaceDE w:val="true"/>
    </w:pPr>
    <w:rPr>
      <w:rFonts w:ascii="Courier New" w:hAnsi="Courier New" w:cs="Courier New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LibreOffice/7.6.1.2$Windows_X86_64 LibreOffice_project/f5defcebd022c5bc36bbb79be232cb6926d8f674</Application>
  <AppVersion>15.0000</AppVersion>
  <Pages>5</Pages>
  <Words>962</Words>
  <Characters>6112</Characters>
  <CharactersWithSpaces>6871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2022-09-22T13:42:00Z</dcterms:created>
  <dc:creator>Barbara Wilk</dc:creator>
  <dc:description/>
  <cp:keywords/>
  <dc:language>pl-PL</dc:language>
  <cp:lastModifiedBy>i s</cp:lastModifiedBy>
  <cp:lastPrinted>2023-09-18T23:09:00Z</cp:lastPrinted>
  <dcterms:modified xsi:type="dcterms:W3CDTF">2023-09-18T23:28:00Z</dcterms:modified>
  <cp:revision>3</cp:revision>
  <dc:subject/>
  <dc:title>KARTA KURSU</dc:title>
</cp:coreProperties>
</file>