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RD/Z.0201-…..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 xml:space="preserve">Biologia 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środowiskowa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 xml:space="preserve"> (nauczycielska)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Dydaktyka chemii w szkole podstawowej 1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Piotr Bieniek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Piotr Bieniek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Celem pierwszej części przedmiotu „Dydaktyka chemii w szkole podstawowej” jest zapozanie studentów z celami i treściami nauczania chemii w szkole podstawowej, strukturyzacją materiału nauczania chemii, zasadami dydaktycznymi i metodami nauczania chemii, środkami dydaktycznymi w nauczaniu chemii, sprawdzaniem i ocenianiem realizacji celów nauczania oraz wybranymi zagadnieniami szczegółowymi dydaktyki chemii.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"/>
        <w:gridCol w:w="5246"/>
        <w:gridCol w:w="45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zna zakres aktualnej podstawy programowej nauczania chemii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zna cele i treści nauczania chemii i w szkole podstawowej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zna zasady dydaktyczne i metody nauczania chemii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wymienia środki dydaktyczne w nauczaniu chemii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zna taksonomię Niemierki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zna zasady związane z procesem ewaluacji w kształceniu chemicznym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zna i wyjaśnia szczegółowe problemy występujące w nauczaniu chemii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omawia uproszczenia stosowane w nauczaniu chemii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wyjaśnia problemy związane z oceną pracy ucznia występujące w kształceniu chemicznym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N_W06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939" w:hRule="atLeast"/>
          <w:cantSplit w:val="true"/>
        </w:trPr>
        <w:tc>
          <w:tcPr>
            <w:tcW w:w="1984" w:type="dxa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gridSpan w:val="2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analizuje przyczyny trudności w nauczaniu/uczeniu się chemii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dyskutuje o problemach nauczania chemii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tworzy sprawdziany wiedzy chemicznej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przygotowuje i prowadzi lekcje chemii, dobierając odpowiednie metody, techniki i narzędzia nauczania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opracowuje własne konspekty i inne materiały dydaktyczne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stosuje taksonomię Niemierki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ocenia pracę uczniów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ocenia prowadzenie hospitowanych lekcji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dokonuje analizy własnej pracy (autoanaliza)</w:t>
            </w:r>
          </w:p>
        </w:tc>
        <w:tc>
          <w:tcPr>
            <w:tcW w:w="241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N_U17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udziela konstruktywnych uwag grupie i sam takie uwagi przyjmuje od grupy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dokonuje oceny własnej pracy (autoanaliza, samoobserwacja)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wykazuje chęć stałego rozwoju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rozumie potrzebę aktualizowania treści nauczania i modyfikowania stosowanych metod nauczania w miarę rozwoju nauki i środków technicznych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dba o kształtowanie pożądanych postaw uczniów (działanie wychowawcze nauczyciela) podczas prowadzonych lekcji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ind w:hanging="567"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przestrzega zasad etyki pracy nauczyciela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N_K05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221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(W) wykład konwersatoryjny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(P) ćwiczenia szkolne: hospitowanie oraz prowadzenie lekcji przez studenta (na podstawie samodzielnie opracowanych konspektów i ew. innych materiałów, zaakceptowanych przez nauczyciela), omawianie lekcji w grupie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część zajęć może być zrealizowana na uczelnianej platformie moodle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Do uzyskania zaliczeń wymagane jest: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uto" w:line="240" w:before="57" w:after="57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uczestnictwo w wykładach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uto" w:line="240" w:before="57" w:after="57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zaliczenie kolokwium zaliczeniowego z wykładów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uto" w:line="240" w:before="57" w:after="57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przygotowanie we wskazany sposób konspektów i innych materiałów do prowadzonych lekcji (i terminowe złożenie ich na uczelnianej platformie moodle)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uto" w:line="240" w:before="57" w:after="57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odpowiednie przeprowadzenie wskazanych lekcji w szkole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uto" w:line="240" w:before="57" w:after="57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hospitowanie pozostałych lekcji w szkole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LineNumbers/>
              <w:suppressAutoHyphens w:val="true"/>
              <w:spacing w:lineRule="auto" w:line="240" w:before="57" w:after="57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wyrażanie swojego zdania na temat lekcji hospitowanych oraz prowadzonych przez siebie (autoanaliza) podczas omawiania lekcji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Podstawa programowa nauczania chemii. Zakres zagadnień poruszanych na lekcjach chemii. Cele kształcenia chemicznego. Strukturyzacja materiału nauczania chemii. Zasady dydaktyczne w nauczaniu chemii. Metody nauczania chemii. Środki dydaktyczne w nauczaniu chemii. Wybrane zagadnienia szczegółowe nauczania chemii. Rozumowanie naukowe. Eksperyment chemiczny. Narzędzia technologii informacyjnej w nauczaniu chemii. Ocena osiągnięć ucznia. Zajęcia pozalekcyjne z chemii.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J.D. Herron: Lekcja chemii. O skutecznym spososbie uczenia, Wydawnictwo Naukowe PWN, Warszawa 2000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A. Burewicz, H. Gulińska (red.): Dydaktyka chemii, Wydawnictwo Naukowe UAM, Poznań 1993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A. Galska-Krajewska, K.M. Pazdro: Dydaktyka chemii, PWN, Warszawa 1990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i/>
                <w:iCs/>
                <w:szCs w:val="16"/>
                <w:lang w:eastAsia="pl-PL"/>
              </w:rPr>
              <w:t>podręcznik wskazany przez nauczyciela w szkole (do przygotowania lekcji)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849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49"/>
      </w:tblGrid>
      <w:tr>
        <w:trPr>
          <w:trHeight w:val="1112" w:hRule="atLeast"/>
        </w:trPr>
        <w:tc>
          <w:tcPr>
            <w:tcW w:w="98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lang w:eastAsia="pl-PL"/>
              </w:rPr>
              <w:t>P</w:t>
            </w:r>
            <w:r>
              <w:rPr>
                <w:rFonts w:cs="Arial" w:ascii="Arial" w:hAnsi="Arial"/>
                <w:lang w:eastAsia="pl-PL"/>
              </w:rPr>
              <w:t>.</w:t>
            </w:r>
            <w:r>
              <w:rPr>
                <w:rFonts w:cs="Arial" w:ascii="Arial" w:hAnsi="Arial"/>
              </w:rPr>
              <w:t> </w:t>
            </w:r>
            <w:hyperlink r:id="rId2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, Hanna </w:t>
            </w:r>
            <w:hyperlink r:id="rId3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Gulińska</w:t>
              </w:r>
            </w:hyperlink>
            <w:r>
              <w:rPr>
                <w:rFonts w:cs="Arial" w:ascii="Arial" w:hAnsi="Arial"/>
              </w:rPr>
              <w:t xml:space="preserve">: </w:t>
            </w:r>
            <w:r>
              <w:rPr>
                <w:rFonts w:cs="Arial" w:ascii="Arial" w:hAnsi="Arial"/>
                <w:i/>
                <w:iCs/>
              </w:rPr>
              <w:t>Jak zrozumieć chemię? Budowa materii i jej konsekwencje</w:t>
            </w:r>
            <w:r>
              <w:rPr>
                <w:rFonts w:cs="Arial" w:ascii="Arial" w:hAnsi="Arial"/>
              </w:rPr>
              <w:t>, Wydawnictwo Sowa, Warszawa 2008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</w:rPr>
              <w:t>Edukacja przyrodnicza</w:t>
            </w:r>
            <w:r>
              <w:rPr>
                <w:rFonts w:cs="Arial" w:ascii="Arial" w:hAnsi="Arial"/>
              </w:rPr>
              <w:t xml:space="preserve"> (monografia, red. P. Bieniek), Wyd. Uniwersytet Pedagogiczny, Kraków 2016; </w:t>
            </w:r>
            <w:hyperlink r:id="rId4">
              <w:r>
                <w:rPr>
                  <w:rStyle w:val="Hyperlink"/>
                  <w:rFonts w:cs="Arial" w:ascii="Arial" w:hAnsi="Arial"/>
                  <w:color w:themeColor="accent1" w:val="4F81BD"/>
                  <w:u w:val="none"/>
                </w:rPr>
                <w:t>http://uatacz.up.krakow.pl/~wwwchemia/pliki/Edukacja%20przyrodnicza.pdf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</w:rPr>
              <w:t>Podręcznik do nauk przyrodniczych w XXI wieku</w:t>
            </w:r>
            <w:r>
              <w:rPr>
                <w:rFonts w:cs="Arial" w:ascii="Arial" w:hAnsi="Arial"/>
              </w:rPr>
              <w:t xml:space="preserve"> (monografia, red. P. Bieniek), Wyd. Uniwersytet Pedagogiczny, Kraków 2016</w:t>
              <w:br/>
            </w:r>
            <w:hyperlink r:id="rId5">
              <w:r>
                <w:rPr>
                  <w:rStyle w:val="Hyperlink"/>
                  <w:rFonts w:cs="Arial" w:ascii="Arial" w:hAnsi="Arial"/>
                  <w:color w:themeColor="accent1" w:val="4F81BD"/>
                  <w:u w:val="none"/>
                </w:rPr>
                <w:t>https://uatacz.up.krakow.pl/~wwwchemia/pliki/Podrecznik%20do%20nauk%20przyrodniczych%20%20w%20XXI%20wieku.pdf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6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Wykorzystanie historii rozwoju teorii atomistycznej w nauczaniu przedmiotów przyrodniczych [w:] Co w dydaktykach nauk przyrodniczych ocalić od zapomnienia?</w:t>
            </w:r>
            <w:r>
              <w:rPr>
                <w:rFonts w:cs="Arial" w:ascii="Arial" w:hAnsi="Arial"/>
              </w:rPr>
              <w:t xml:space="preserve"> (monografia, red. M. Nodzyńska i W. Kopek-Putała, Wyd. Uniwersytet Pedagogiczny, Kraków 2015; </w:t>
            </w:r>
            <w:hyperlink r:id="rId7">
              <w:r>
                <w:rPr>
                  <w:rStyle w:val="Hyperlink"/>
                  <w:rFonts w:cs="Arial" w:ascii="Arial" w:hAnsi="Arial"/>
                  <w:color w:themeColor="accent1" w:val="4F81BD"/>
                  <w:u w:val="none"/>
                </w:rPr>
                <w:t>http://uatacz.up.krakow.pl/~wwwchemia/pliki/ISBN_978-83-7271-967-6_Co_w_dydaktykach_nauk_przyrodniczych_ocalic_od_zapomnienia.pdf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8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Technologia informacyjna w chemii dla uczniów „Młodzieżowej e-Akademii Nauk Matematyczno-Przyrodniczych”</w:t>
            </w:r>
            <w:r>
              <w:rPr>
                <w:rFonts w:cs="Arial" w:ascii="Arial" w:hAnsi="Arial"/>
              </w:rPr>
              <w:t>, [w:] Technologie informacyjne w warsztacie nauczyciela (red. J. Migdałek i W. Folta), Księgarnia Akademicka, Kraków 2010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9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Zadania obliczeniowe z chemii na forach internetowych</w:t>
            </w:r>
            <w:r>
              <w:rPr>
                <w:rFonts w:cs="Arial" w:ascii="Arial" w:hAnsi="Arial"/>
              </w:rPr>
              <w:t>, [w:] Badania w dydaktykach przedmiotów przyrodniczych (monografia, red. M. Nodzyńska i J.R. Paśko),  Wyd. Uniwersytet Pedagogiczny, Kraków 2010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10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Szkolne problemy z jednostkami</w:t>
            </w:r>
            <w:r>
              <w:rPr>
                <w:rFonts w:cs="Arial" w:ascii="Arial" w:hAnsi="Arial"/>
              </w:rPr>
              <w:t>, [w:] Chemia bliżej życia. Dydaktyka chemii w dobie reformy edukacji (red. H. Gulińska), Wyd. Sowa, Poznań 2009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11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Uwagi o wykorzystywaniu narzędzi technologii informacyjnej do przygotowywania materiałów dydaktycznych</w:t>
            </w:r>
            <w:r>
              <w:rPr>
                <w:rFonts w:cs="Arial" w:ascii="Arial" w:hAnsi="Arial"/>
              </w:rPr>
              <w:t>, [w:] Technologie informacyjne w procesach kształcenia (red. A. Burewicz), Wyd. Uniwersytet im. Adama Mickiewicza, Poznań 2009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12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Edukacyjne portale chemiczne</w:t>
            </w:r>
            <w:r>
              <w:rPr>
                <w:rFonts w:cs="Arial" w:ascii="Arial" w:hAnsi="Arial"/>
              </w:rPr>
              <w:t>, [w:] Technologie informacyjne w warsztacie nauczyciela (red. J. Migdałek i M. Zając, Oficyna Wydawnicza „Impuls”, Kraków 2008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120"/>
              <w:ind w:hanging="357" w:left="357"/>
              <w:contextualSpacing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P. </w:t>
            </w:r>
            <w:hyperlink r:id="rId13">
              <w:r>
                <w:rPr>
                  <w:rStyle w:val="Hyperlink"/>
                  <w:rFonts w:cs="Arial" w:ascii="Arial" w:hAnsi="Arial"/>
                  <w:color w:val="auto"/>
                  <w:u w:val="none"/>
                </w:rPr>
                <w:t>Bieniek</w:t>
              </w:r>
            </w:hyperlink>
            <w:r>
              <w:rPr>
                <w:rFonts w:cs="Arial" w:ascii="Arial" w:hAnsi="Arial"/>
              </w:rPr>
              <w:t>: </w:t>
            </w:r>
            <w:r>
              <w:rPr>
                <w:rFonts w:cs="Arial" w:ascii="Arial" w:hAnsi="Arial"/>
                <w:i/>
                <w:iCs/>
              </w:rPr>
              <w:t>Zagadnienia ochrony środowiska jako motyw przewodni kółka chemicznego</w:t>
            </w:r>
            <w:r>
              <w:rPr>
                <w:rFonts w:cs="Arial" w:ascii="Arial" w:hAnsi="Arial"/>
              </w:rPr>
              <w:t>, [w:] Chemia jako element kształcenia przyrodniczego (red. H. Gulińska), Wydawnictwo Sowa, Poznań 2008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14"/>
      <w:headerReference w:type="default" r:id="rId15"/>
      <w:headerReference w:type="first" r:id="rId16"/>
      <w:footerReference w:type="even" r:id="rId17"/>
      <w:footerReference w:type="default" r:id="rId18"/>
      <w:footerReference w:type="first" r:id="rId19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Zero"/>
      <w:lvlText w:val="W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Zero"/>
      <w:lvlText w:val="U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Zero"/>
      <w:lvlText w:val="K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f36bdd"/>
    <w:rPr>
      <w:b/>
      <w:bCs/>
    </w:rPr>
  </w:style>
  <w:style w:type="character" w:styleId="Hyperlink">
    <w:name w:val="Hyperlink"/>
    <w:basedOn w:val="DefaultParagraphFont"/>
    <w:uiPriority w:val="99"/>
    <w:unhideWhenUsed/>
    <w:rsid w:val="00f36bdd"/>
    <w:rPr>
      <w:color w:val="0000FF"/>
      <w:u w:val="single"/>
    </w:rPr>
  </w:style>
  <w:style w:type="character" w:styleId="Label" w:customStyle="1">
    <w:name w:val="label"/>
    <w:basedOn w:val="DefaultParagraphFont"/>
    <w:qFormat/>
    <w:rsid w:val="00f36bdd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4122f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b06f9"/>
    <w:pPr>
      <w:spacing w:before="0" w:after="200"/>
      <w:ind w:left="720"/>
      <w:contextualSpacing/>
    </w:pPr>
    <w:rPr/>
  </w:style>
  <w:style w:type="paragraph" w:styleId="PBtekst" w:customStyle="1">
    <w:name w:val="PB tekst"/>
    <w:basedOn w:val="Normal"/>
    <w:uiPriority w:val="99"/>
    <w:qFormat/>
    <w:rsid w:val="000400b1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3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Guli%F1ska+Hanna+" TargetMode="External"/><Relationship Id="rId4" Type="http://schemas.openxmlformats.org/officeDocument/2006/relationships/hyperlink" Target="http://uatacz.up.krakow.pl/~wwwchemia/pliki/Edukacja przyrodnicza.pdf" TargetMode="External"/><Relationship Id="rId5" Type="http://schemas.openxmlformats.org/officeDocument/2006/relationships/hyperlink" Target="https://uatacz.up.krakow.pl/~wwwchemia/pliki/Podrecznik do nauk przyrodniczych  w XXI wieku.pdf" TargetMode="External"/><Relationship Id="rId6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7" Type="http://schemas.openxmlformats.org/officeDocument/2006/relationships/hyperlink" Target="http://uatacz.up.krakow.pl/~wwwchemia/pliki/ISBN_978-83-7271-967-6_Co_w_dydaktykach_nauk_przyrodniczych_ocalic_od_zapomnienia.pdf" TargetMode="External"/><Relationship Id="rId8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9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10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11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12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13" Type="http://schemas.openxmlformats.org/officeDocument/2006/relationships/hyperlink" Target="http://bgbase.up.krakow.pl/biblio/splendor/expertus3e.cgi?KAT=%2Fpublic%2Fexpertus%2Fpar%2Fbib%2F&amp;FST=data.fst&amp;FDT=data.fdt&amp;ekran=ISO&amp;lnkmsk=2&amp;cond=AND&amp;sort=-1&amp;mask=2&amp;F_00=02&amp;V_00=Bieniek+Piotr+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Application>LibreOffice/7.6.1.2$Windows_X86_64 LibreOffice_project/f5defcebd022c5bc36bbb79be232cb6926d8f674</Application>
  <AppVersion>15.0000</AppVersion>
  <Pages>5</Pages>
  <Words>1046</Words>
  <Characters>6808</Characters>
  <CharactersWithSpaces>7585</CharactersWithSpaces>
  <Paragraphs>237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2020-10-06T06:18:00Z</dcterms:created>
  <dc:creator>Monika</dc:creator>
  <dc:description/>
  <dc:language>pl-PL</dc:language>
  <cp:lastModifiedBy/>
  <cp:lastPrinted>2022-11-25T17:12:00Z</cp:lastPrinted>
  <dcterms:modified xsi:type="dcterms:W3CDTF">2023-10-04T11:23:21Z</dcterms:modified>
  <cp:revision>90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