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Arial" w:hAnsi="Arial"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Heading1"/>
        <w:ind w:left="4248"/>
        <w:jc w:val="center"/>
        <w:rPr>
          <w:b/>
          <w:i w:val="false"/>
          <w:i w:val="false"/>
          <w:iCs w:val="false"/>
          <w:sz w:val="22"/>
        </w:rPr>
      </w:pPr>
      <w:r>
        <w:rPr>
          <w:b/>
          <w:sz w:val="22"/>
        </w:rPr>
        <w:t>Biologia, stopień II</w:t>
      </w:r>
      <w:r>
        <w:rPr>
          <w:b/>
          <w:i w:val="false"/>
          <w:iCs w:val="false"/>
          <w:sz w:val="22"/>
        </w:rPr>
        <w:t xml:space="preserve">, </w:t>
      </w:r>
      <w:r>
        <w:rPr>
          <w:sz w:val="22"/>
        </w:rPr>
        <w:t>studia niestacjonarne</w:t>
      </w:r>
      <w:r>
        <w:rPr>
          <w:b/>
          <w:i w:val="false"/>
          <w:iCs w:val="false"/>
          <w:sz w:val="22"/>
        </w:rPr>
        <w:t xml:space="preserve">, </w:t>
      </w:r>
      <w:r>
        <w:rPr>
          <w:sz w:val="22"/>
          <w:szCs w:val="22"/>
        </w:rPr>
        <w:t>2023/24</w:t>
      </w:r>
      <w:bookmarkStart w:id="0" w:name="_GoBack"/>
      <w:bookmarkEnd w:id="0"/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right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Style w:val="SubtleEmphasis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KARTA KURSU (realizowanego w specjalności)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firstLine="708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 xml:space="preserve"> </w:t>
      </w: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  <w:tab/>
        <w:tab/>
        <w:t>Biologia laboratoryjna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84"/>
        <w:gridCol w:w="7655"/>
      </w:tblGrid>
      <w:tr>
        <w:trPr>
          <w:trHeight w:val="395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</w:rPr>
              <w:t>Ekologia stosowana</w:t>
            </w:r>
          </w:p>
        </w:tc>
      </w:tr>
      <w:tr>
        <w:trPr>
          <w:trHeight w:val="379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</w:rPr>
              <w:t>Applied ecology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88"/>
        <w:gridCol w:w="3190"/>
        <w:gridCol w:w="3262"/>
      </w:tblGrid>
      <w:tr>
        <w:trPr>
          <w:cantSplit w:val="true"/>
        </w:trPr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Małgorzata Kłyś prof. UP</w:t>
            </w:r>
          </w:p>
        </w:tc>
        <w:tc>
          <w:tcPr>
            <w:tcW w:w="32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Małgorzata Kłyś prof. UP</w:t>
            </w:r>
          </w:p>
        </w:tc>
      </w:tr>
      <w:tr>
        <w:trPr>
          <w:trHeight w:val="57" w:hRule="atLeast"/>
          <w:cantSplit w:val="true"/>
        </w:trPr>
        <w:tc>
          <w:tcPr>
            <w:tcW w:w="3188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Opis kursu (cele kształcenia)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Default"/>
              <w:rPr>
                <w:rFonts w:eastAsia="Times New Roman"/>
                <w:szCs w:val="16"/>
                <w:lang w:eastAsia="pl-PL"/>
              </w:rPr>
            </w:pPr>
            <w:r>
              <w:rPr>
                <w:rFonts w:cs="Times New Roman" w:ascii="Times New Roman" w:hAnsi="Times New Roman"/>
              </w:rPr>
              <w:t>Poznanie praktycznych zastosowań wiedzy ekologicznej w gospodarowaniu zasobami przyrody. Poznanie zagrożeń nadmiernej eksploatacji populacji gatunków ważnych gospodarczo. Poznanie bezpiecznych dla środowiska metod zwalczania szkodników.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Efekty uczenia się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3534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W01 Charakteryzuje możliwości praktycznego wykorzystania wiedzy ekologicznej.</w:t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W02 Zna i charakteryzuje zasady eksploatacji populacji.</w:t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W03 Zna rodzaje zasobów przyrody i podaje przykłady ich nadmiernej eksploatacji.</w:t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W04 Zna metody zwalczania szkodników. Zna cel i główne elementy integrowanego zwalczania szkodników; integrowanej ochrony roślin.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W01;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 03, W10;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spacing w:lineRule="auto" w:line="288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W10;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spacing w:lineRule="auto" w:line="288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W10</w:t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939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2895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U01 Rozpoznaje przyczyny zmian i zaburzeń w środowisku.</w:t>
            </w:r>
          </w:p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U02 Samodzielnie wyszukuje i korzysta z różnych źródeł informacji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U07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U04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800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1984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K01, Posiada świadomość ważności tematyki racjonalnego gospodarowania zasobami przyrody.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K02 Jest świadomy potrzeby aktualizowania i poszerzania wiedzy.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K05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K06;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8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610"/>
        <w:gridCol w:w="1226"/>
        <w:gridCol w:w="850"/>
        <w:gridCol w:w="272"/>
        <w:gridCol w:w="862"/>
        <w:gridCol w:w="315"/>
        <w:gridCol w:w="818"/>
        <w:gridCol w:w="285"/>
        <w:gridCol w:w="850"/>
        <w:gridCol w:w="283"/>
        <w:gridCol w:w="850"/>
        <w:gridCol w:w="285"/>
        <w:gridCol w:w="849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ind w:left="45" w:right="13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Wykład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2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62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  <w:t>Opis metod prowadzenia zajęć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841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/>
              <w:t>Wykład w formie prezentacji multimedialnej</w:t>
            </w:r>
            <w:r>
              <w:rPr>
                <w:rFonts w:cs="Arial" w:ascii="Arial" w:hAnsi="Arial"/>
                <w:sz w:val="22"/>
                <w:szCs w:val="16"/>
              </w:rPr>
              <w:t>.</w:t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Formy sprawdzania efektów uczenia się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"/>
        <w:gridCol w:w="665"/>
        <w:gridCol w:w="666"/>
        <w:gridCol w:w="667"/>
        <w:gridCol w:w="666"/>
        <w:gridCol w:w="665"/>
        <w:gridCol w:w="666"/>
        <w:gridCol w:w="667"/>
        <w:gridCol w:w="666"/>
        <w:gridCol w:w="564"/>
        <w:gridCol w:w="768"/>
        <w:gridCol w:w="667"/>
        <w:gridCol w:w="666"/>
        <w:gridCol w:w="665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Inne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 xml:space="preserve"> </w:t>
            </w:r>
            <w:r>
              <w:rPr>
                <w:rFonts w:cs="Arial" w:ascii="Arial" w:hAnsi="Arial"/>
                <w:szCs w:val="16"/>
              </w:rPr>
              <w:t>Zaliczenie uzyskuje student, który:</w:t>
            </w:r>
            <w:r>
              <w:rPr>
                <w:rFonts w:ascii="Tahoma" w:hAnsi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zna i potrafi wykazać praktyczne zastosowanie wiedzy ekologicznej. </w:t>
            </w:r>
            <w:r>
              <w:rPr>
                <w:rFonts w:cs="Arial" w:ascii="Arial" w:hAnsi="Arial"/>
              </w:rPr>
              <w:t>Zna zagrożenia spowodowane nadmierną eksploatacją populacji biologicznych. Zna gatunki szkodliwe dla gospodarki człowieka i metody ich zwalczania.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1089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Sprawdzanie obecności na każdym wykładzie.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Treści merytoryczne (wykaz tematów)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Aaa"/>
              <w:spacing w:before="57" w:after="57"/>
              <w:rPr/>
            </w:pPr>
            <w:r>
              <w:rPr/>
              <w:t>Wykład</w:t>
            </w:r>
          </w:p>
          <w:p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Ekologia stosowana i jej znaczenie.</w:t>
            </w:r>
          </w:p>
          <w:p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Rodzaje zasobów przyrody i ich racjonalne użytkowanie.</w:t>
            </w:r>
          </w:p>
          <w:p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Pozyskiwanie zasobów żywych – eksploatacja populacji biologicznych przez człowieka (leśnictwo, rybactwo, gosopdarka łowiecka).</w:t>
            </w:r>
          </w:p>
          <w:p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Gatunki szkodliwe dla gospodarki człowieka.</w:t>
            </w:r>
          </w:p>
          <w:p>
            <w:pPr>
              <w:pStyle w:val="Tekstdymka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Metody zwalczania szkodników. Integrowane metody ochrony roślin przed szkodnikami (IPM).</w:t>
            </w:r>
          </w:p>
          <w:p>
            <w:pPr>
              <w:pStyle w:val="Tekstdymka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Wykaz literatury podstawowej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19244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  <w:gridCol w:w="9621"/>
      </w:tblGrid>
      <w:tr>
        <w:trPr>
          <w:trHeight w:val="1098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pacing w:lineRule="atLeast" w:line="254" w:before="0" w:after="9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Krebs Ch.J. 2011. Ekologia. Wydawnictwo Naukowe PWN, Warszawa.</w:t>
            </w:r>
          </w:p>
          <w:p>
            <w:pPr>
              <w:pStyle w:val="Normal"/>
              <w:spacing w:lineRule="atLeast" w:line="254" w:before="0" w:after="90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 xml:space="preserve">Mackenzie A., Ball A.S, Virdee S.R. 2000. </w:t>
            </w:r>
            <w:r>
              <w:rPr>
                <w:rFonts w:cs="Arial" w:ascii="Arial" w:hAnsi="Arial"/>
                <w:color w:val="000000"/>
              </w:rPr>
              <w:t>Ekologia. Krótkie wykłady. Wydawnictwo Naukowe PWN, Warszawa.</w:t>
            </w:r>
          </w:p>
        </w:tc>
        <w:tc>
          <w:tcPr>
            <w:tcW w:w="962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Wykaz literatury uzupełniającej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12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Odum E. P. 1982. Podstawy ekologii. PWN, Warszawa.</w:t>
            </w:r>
          </w:p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 xml:space="preserve">Kompendium wiedzy ekologii pod red. J. Strzałko i T. Mossor-Pietraszewskiej. </w:t>
            </w:r>
            <w:r>
              <w:rPr>
                <w:rFonts w:cs="Times New Roman" w:ascii="Times New Roman" w:hAnsi="Times New Roman"/>
                <w:lang w:val="en-US"/>
              </w:rPr>
              <w:t>Wyd. Nauk. PWN Warszawa Poznań 1999.</w:t>
            </w:r>
          </w:p>
          <w:p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  <w:t>Kłyś M.</w:t>
            </w:r>
            <w:r>
              <w:rPr>
                <w:rFonts w:cs="Times New Roman" w:ascii="Times New Roman" w:hAnsi="Times New Roman"/>
                <w:lang w:val="en-US"/>
              </w:rPr>
              <w:t xml:space="preserve"> 2004. Feeding inhibitors in pest control: effect of herb additions to food on the population dynamics of the lesser grain borer </w:t>
            </w:r>
            <w:r>
              <w:rPr>
                <w:rFonts w:cs="Times New Roman" w:ascii="Times New Roman" w:hAnsi="Times New Roman"/>
                <w:i/>
                <w:lang w:val="en-US"/>
              </w:rPr>
              <w:t>Rhyzopertha dominica</w:t>
            </w:r>
            <w:r>
              <w:rPr>
                <w:rFonts w:cs="Times New Roman" w:ascii="Times New Roman" w:hAnsi="Times New Roman"/>
                <w:lang w:val="en-US"/>
              </w:rPr>
              <w:t xml:space="preserve"> F. (Coleoptera, Bostrychidae). Polish Journal of Ecology, vol. 52 (4): 575-581.</w:t>
            </w:r>
          </w:p>
          <w:p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Normal"/>
              <w:spacing w:lineRule="atLeast" w:line="254" w:before="0" w:after="9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Kłyś 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Malejky N., Nowak-Chmura M. 2017. The repellent effect of plants and their active substances against the beetle storage pests.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pl-PL"/>
              </w:rPr>
              <w:t>Journal of Stored Products Research 74: 66-77.</w:t>
            </w:r>
          </w:p>
          <w:p>
            <w:pPr>
              <w:pStyle w:val="Normal"/>
              <w:spacing w:lineRule="atLeast" w:line="254" w:before="0" w:after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Malejky N.,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Kłyś M.,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Orłowska L. 2017. Crop pest arthropods control. 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In: Arthropods in urban and suburban environments. </w:t>
            </w:r>
            <w:r>
              <w:rPr>
                <w:rFonts w:ascii="Times New Roman" w:hAnsi="Times New Roman"/>
                <w:sz w:val="24"/>
                <w:szCs w:val="24"/>
              </w:rPr>
              <w:t>Ed. Buczek and Błaszak, Lublin: Koliber 197-205.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Izdebska A., Malejky N.,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Kłyś 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influence of various repellents on the migration activity of storage pests and human harmful beetles. Ed. Buczek and Błaszak Arthropods. At the beginning of the new century. </w:t>
            </w:r>
            <w:r>
              <w:rPr>
                <w:rFonts w:ascii="Times New Roman" w:hAnsi="Times New Roman"/>
                <w:sz w:val="24"/>
                <w:szCs w:val="24"/>
              </w:rPr>
              <w:t>Koliber, Lublin 181-187.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Malejky-Kłusek N.,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Kłyś M.,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Izdebska A., Kocoń A., Chomicz L. 2019.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Czynniki biologiczne wykorzystywane do zwalczania motyli - szkodliwych stawonogów magazynowych.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Ed. Buczek and Błaszak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Stawonogi pasożytnicze i alergenne t. II.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Koliber, Lublin 144-155.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BodyText"/>
              <w:spacing w:before="0" w:after="120"/>
              <w:rPr>
                <w:lang w:val="en-US"/>
              </w:rPr>
            </w:pPr>
            <w:r>
              <w:rPr>
                <w:b/>
                <w:bCs/>
              </w:rPr>
              <w:t>Kłyś M</w:t>
            </w:r>
            <w:r>
              <w:rPr>
                <w:bCs/>
              </w:rPr>
              <w:t xml:space="preserve">., Przystupińska A., Izdebska A. 2019. </w:t>
            </w:r>
            <w:r>
              <w:rPr>
                <w:bCs/>
                <w:lang w:val="en-US"/>
              </w:rPr>
              <w:t xml:space="preserve">The mortality of the lesser grain borer </w:t>
            </w:r>
            <w:r>
              <w:rPr>
                <w:bCs/>
                <w:i/>
                <w:iCs/>
                <w:lang w:val="en-US"/>
              </w:rPr>
              <w:t>Rhyzopertha dominica</w:t>
            </w:r>
            <w:r>
              <w:rPr>
                <w:bCs/>
                <w:lang w:val="en-US"/>
              </w:rPr>
              <w:t xml:space="preserve"> (Fabricius 1792) induced by plant powders, Polish Journal of Natural Sciences </w:t>
            </w:r>
            <w:r>
              <w:rPr>
                <w:lang w:val="en-US"/>
              </w:rPr>
              <w:t>34(3): 355–366.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Bilans godzinowy zgodny z CNPS (Całkowity Nakład Pracy Studenta)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6"/>
        <w:gridCol w:w="5749"/>
        <w:gridCol w:w="1067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57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do egzaminu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</w:tr>
      <w:tr>
        <w:trPr>
          <w:trHeight w:val="365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Ogółem bilans czasu pracy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</w:t>
            </w:r>
          </w:p>
        </w:tc>
      </w:tr>
      <w:tr>
        <w:trPr>
          <w:trHeight w:val="392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454" w:top="1258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suppressAutoHyphens w:val="true"/>
      <w:spacing w:lineRule="auto" w:line="240" w:before="0" w:after="0"/>
      <w:jc w:val="right"/>
      <w:outlineLvl w:val="0"/>
    </w:pPr>
    <w:rPr>
      <w:rFonts w:ascii="Arial" w:hAnsi="Arial" w:eastAsia="Times New Roman" w:cs="Arial"/>
      <w:i/>
      <w:iCs/>
      <w:sz w:val="24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semiHidden/>
    <w:qFormat/>
    <w:rPr/>
  </w:style>
  <w:style w:type="character" w:styleId="StopkaZnak" w:customStyle="1">
    <w:name w:val="Stopka Znak"/>
    <w:basedOn w:val="DefaultParagraphFont"/>
    <w:semiHidden/>
    <w:qFormat/>
    <w:rPr/>
  </w:style>
  <w:style w:type="character" w:styleId="SubtleEmphasis">
    <w:name w:val="Subtle Emphasis"/>
    <w:qFormat/>
    <w:rPr>
      <w:i/>
      <w:iCs/>
      <w:color w:val="808080"/>
    </w:rPr>
  </w:style>
  <w:style w:type="character" w:styleId="Strong">
    <w:name w:val="Strong"/>
    <w:basedOn w:val="DefaultParagraphFont"/>
    <w:uiPriority w:val="22"/>
    <w:qFormat/>
    <w:rsid w:val="005f3418"/>
    <w:rPr>
      <w:b/>
      <w:bCs/>
    </w:rPr>
  </w:style>
  <w:style w:type="character" w:styleId="TekstpodstawowyZnak" w:customStyle="1">
    <w:name w:val="Tekst podstawowy Znak"/>
    <w:basedOn w:val="DefaultParagraphFont"/>
    <w:semiHidden/>
    <w:qFormat/>
    <w:rsid w:val="00ec0d63"/>
    <w:rPr>
      <w:rFonts w:ascii="Times New Roman" w:hAnsi="Times New Roman" w:eastAsia="Times New Roman"/>
      <w:sz w:val="24"/>
      <w:szCs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link w:val="TekstpodstawowyZnak"/>
    <w:semiHidden/>
    <w:rsid w:val="00ec0d63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semiHidden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semiHidden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5f3418"/>
    <w:pPr>
      <w:widowControl/>
      <w:bidi w:val="0"/>
      <w:spacing w:before="0" w:after="0"/>
      <w:jc w:val="left"/>
    </w:pPr>
    <w:rPr>
      <w:rFonts w:ascii="Arial" w:hAnsi="Arial" w:eastAsia="Andale Sans UI" w:cs="Arial"/>
      <w:color w:val="000000"/>
      <w:kern w:val="0"/>
      <w:sz w:val="24"/>
      <w:szCs w:val="24"/>
      <w:lang w:eastAsia="ja-JP" w:val="pl-PL" w:bidi="ar-SA"/>
    </w:rPr>
  </w:style>
  <w:style w:type="paragraph" w:styleId="Standard" w:customStyle="1">
    <w:name w:val="Standard"/>
    <w:qFormat/>
    <w:rsid w:val="005f341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ListParagraph">
    <w:name w:val="List Paragraph"/>
    <w:basedOn w:val="Normal"/>
    <w:uiPriority w:val="99"/>
    <w:qFormat/>
    <w:rsid w:val="005f3418"/>
    <w:pPr>
      <w:spacing w:lineRule="auto" w:line="240" w:before="0" w:after="0"/>
      <w:ind w:left="720"/>
      <w:contextualSpacing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Zawartotabeli" w:customStyle="1">
    <w:name w:val="Zawartość tabeli"/>
    <w:basedOn w:val="Normal"/>
    <w:qFormat/>
    <w:rsid w:val="009b6c9a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Aaa" w:customStyle="1">
    <w:name w:val="aaa"/>
    <w:basedOn w:val="Zawartotabeli"/>
    <w:autoRedefine/>
    <w:qFormat/>
    <w:rsid w:val="009b6c9a"/>
    <w:pPr>
      <w:spacing w:before="57" w:after="57"/>
    </w:pPr>
    <w:rPr>
      <w:rFonts w:ascii="Arial" w:hAnsi="Arial" w:cs="Arial"/>
      <w:sz w:val="22"/>
      <w:szCs w:val="16"/>
    </w:rPr>
  </w:style>
  <w:style w:type="paragraph" w:styleId="Tekstdymka2" w:customStyle="1">
    <w:name w:val="Tekst dymka2"/>
    <w:basedOn w:val="Normal"/>
    <w:qFormat/>
    <w:rsid w:val="009b6c9a"/>
    <w:pPr>
      <w:widowControl w:val="false"/>
      <w:suppressAutoHyphens w:val="true"/>
      <w:spacing w:lineRule="auto" w:line="240" w:before="0" w:after="0"/>
    </w:pPr>
    <w:rPr>
      <w:rFonts w:ascii="Tahoma" w:hAnsi="Tahoma" w:eastAsia="Times New Roman" w:cs="Tahoma"/>
      <w:sz w:val="16"/>
      <w:szCs w:val="16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>
  <documentManagement>
    <mbof xmlns="b52c25fa-4a22-4f71-bd58-d08063dcb0d9" xsi:nil="true"/>
    <Opis xmlns="b52c25fa-4a22-4f71-bd58-d08063dcb0d9">zal_nr_7_karta_kursu_specjalnosciowego</Opi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AC9B42-675E-4A7F-91EC-66B8D42B7807}">
  <ds:schemaRefs>
    <ds:schemaRef ds:uri="http://schemas.microsoft.com/office/2006/metadata/properties"/>
    <ds:schemaRef ds:uri="b52c25fa-4a22-4f71-bd58-d08063dcb0d9"/>
  </ds:schemaRefs>
</ds:datastoreItem>
</file>

<file path=customXml/itemProps2.xml><?xml version="1.0" encoding="utf-8"?>
<ds:datastoreItem xmlns:ds="http://schemas.openxmlformats.org/officeDocument/2006/customXml" ds:itemID="{889C3965-A37A-4B6D-B0DE-E0325B4A2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011BA0-46EB-4E2F-9A01-780B6D0BED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D9A4CBC-A22D-4651-86A2-9BBE1FA115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LibreOffice/7.6.1.2$Windows_X86_64 LibreOffice_project/f5defcebd022c5bc36bbb79be232cb6926d8f674</Application>
  <AppVersion>15.0000</AppVersion>
  <Pages>5</Pages>
  <Words>696</Words>
  <Characters>4402</Characters>
  <CharactersWithSpaces>4980</CharactersWithSpaces>
  <Paragraphs>135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2019-10-09T05:09:00Z</dcterms:created>
  <dc:creator>Monika</dc:creator>
  <dc:description/>
  <dc:language>pl-PL</dc:language>
  <cp:lastModifiedBy>Małgorzata Kłyś</cp:lastModifiedBy>
  <cp:lastPrinted>2012-01-27T06:28:00Z</cp:lastPrinted>
  <dcterms:modified xsi:type="dcterms:W3CDTF">2023-09-19T18:25:00Z</dcterms:modified>
  <cp:revision>17</cp:revision>
  <dc:subject/>
  <dc:title>zal_nr_7_karta_kursu_specjalnosciowego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