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Biologia,2 stopnia, st. stacjonarne, rok akademicki 2023/20</w:t>
      </w:r>
      <w:bookmarkStart w:id="0" w:name="_GoBack"/>
      <w:bookmarkEnd w:id="0"/>
      <w:r>
        <w:rPr>
          <w:i/>
        </w:rPr>
        <w:t>24, sem.1.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Endokrynologia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Endocrinology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Agnieszka Greń,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>Prof. dr hab. Peter Massanyi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 xml:space="preserve">Dr hab. </w:t>
            </w: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Grzegorz Formicki, prof. UP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Dr Zofia Goc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Dr inż. Renata Muchacka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Poznanie przez studenta budowy i funkcjonowania układu hormonalnego wybranych zwierząt i człowieka. Prawidłowe wskazanie rodzajów i funkcji gruczołów wydzielania wewnętrznego uczestniczących w regulacji procesów fizjologicznych, a także zależności pomiędzy układem hormonalnym, nerwowym organizmu a odpowiedzią immunologiczną. Wykazanie się znajomością mechanizmów służących utrzymaniu życia i regulacji fizjologicznych.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Student: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W01, Zna wpływ hormonów podwzgórzowych na regulację funkcji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W02, Rozróżnia hormony tropowe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W03, Charakteryzuje zasady kontroli wydzielania tylnego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W04, Wskazuje jakie są skutki nadczynności i niedoczynności przysadki mózgowej u człowieka.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W05, Zna mechanizm powstawania, wydzielania oraz transportu hormonów tarczycy.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W06, Objaśnia działanie hormonów tarczycy i definiuje choroby gruczołu tarczowego.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W07, Charakteryzuje gruczoły przytarczyczne.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W08, Opisuje rolę parathormonu i kalcytoniny w regulacji stężenia wapnia.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W09, Definiuje funkcję endokrynną nerek, szyszynki i trzustki.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W10, Przedstawia budowę i biosyntezę hormonów kory i rdzenia nadnerczy.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W11, Tłumaczy fizjologiczną rolę glikokortykoidów i mineralokortykoidów oraz działanie nadnerczowych androgenów i estrogenów.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W012, Charakteryzuje jakie są następstwa nadczynności i niedoczynności kory nadnerczy u ludzi.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W013, Objaśnia działanie gonadotropin przysadkowych oraz prolaktyny.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W14, Definiuje funkcje wewnątrzwydzielnicze jąder.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W15, Charakteryzuje hormony jajnikowe oraz cykl jajnikowy i maciczny.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U01, Potrafi zinterpretować działanie hormonów podwzgórzowych na regulację funkcji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U02, Umie przedstawić mechanizm kontroli wydzielania tylnego płata przysadki.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U03, Rozróżniania jakie są skutki nadczynności i niedoczynności przysadki mózgowej u człowieka.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U04, Potrafi wytłumaczyć mechanizm powstawania, wydzielania oraz transportu hormonów tarczycy.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U05, Przeprowadza analizę działania hormonów tarczycy i zaburzeń funkcjonowania tego gruczołu.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U06, Dokonuje interpretacji roli parathormonu i kalcytoniny w regulacji stężenia wapnia w krwi.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U07, Umie zaprezentować funkcje endokrynne nerek, szyszynki, grasicy i trzustki.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U08, Potrafi przedstawić w formie ustnej własne przemyślenia odnośnie fizjologicznego działania na organizm człowieka glikokortykoidów i mineralokortykoidów oraz wpływu nadnerczowych androgenów i estrogenów.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U09, Wyszczególnienia skutków nadczynności i niedoczynności kory nadnerczy u ludzi.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U010, Umie zinterpretować funkcje wewnątrzwydzielnicze jąder.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U11, Potrafi opisać przebieg cyklu jajnikowego i macicznego.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K01, Rozumie konieczność ciągłego dokształcania się.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K02, Stosuje w życiu i propaguje założenia racjonalnego odżywiania i promocji zdrowia.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K03, Rozumie potrzebę dbałości o sprawność fizyczną, i jest świadomy jak wielką wartością jest zdrowie. Dąży do stałego aktualizowania wiedzy z zakresu nauk fizjologicznych.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K02, K06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K02, K03, K04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45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Wykład z prezentacją multimedialną, dyskusja, ćwiczenia laboratoryjne. Zgodnie z wytycznymi zawartymi w zarządzeniach władz UP wykłady odbywają się w trybie zdalnym z wykorzystaniem MSTeams. Ćwiczenia laboratoryjne odbywają się w trybie stacjonarnym.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71" w:type="dxa"/>
        <w:jc w:val="left"/>
        <w:tblInd w:w="-1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5"/>
        <w:gridCol w:w="1535"/>
        <w:gridCol w:w="25"/>
        <w:gridCol w:w="1960"/>
        <w:gridCol w:w="1984"/>
        <w:gridCol w:w="1985"/>
        <w:gridCol w:w="2151"/>
        <w:gridCol w:w="26"/>
      </w:tblGrid>
      <w:tr>
        <w:trPr/>
        <w:tc>
          <w:tcPr>
            <w:tcW w:w="5" w:type="dxa"/>
            <w:tcBorders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8080" w:type="dxa"/>
            <w:gridSpan w:val="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Podstawą przystąpienia do zaliczenia z oceną jest zaliczenie ćwiczeń laboratoryjnych. Zaliczenie wykładów: egzamin ustny lub pisemny test  (zależne od sytuacji epidemicznej) sprawdzający treści programowe wykładów i ćwiczeń. Zaliczenie ćwiczeń: praca na zajęciach, prawidłowe wykonanie oznaczeń, przygotowanie sprawozdań z zajęć.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Efekty uczenia się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agwkitablic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Arial" w:ascii="Garamond" w:hAnsi="Garamond"/>
                <w:b w:val="false"/>
                <w:sz w:val="24"/>
                <w:szCs w:val="24"/>
              </w:rPr>
              <w:t>Na ocenę 2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3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4 student: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5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student:</w:t>
            </w:r>
          </w:p>
        </w:tc>
      </w:tr>
      <w:tr>
        <w:trPr>
          <w:trHeight w:val="244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nie potrafi objaśnić  terminów, zdefiniować pojęć i omówić podstawowych zagadnień dotyczących endokrynologii.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65 % potrafi objaśnić terminy, zdefiniować pojęcia i omówić podstawowych zagadnień dotyczących endokrynologii.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80 % potrafi objaśnić terminy, zdefiniować pojęcia i omówić podstawowych zagadnień dotyczących endokrynologii.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95 % potrafi objaśnić terminy, zdefiniować pojęcia i omówić podstawowych zagadnień dotyczących endokrynologii.</w:t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Cs w:val="20"/>
              </w:rPr>
              <w:t xml:space="preserve">nie </w:t>
            </w:r>
            <w:r>
              <w:rPr>
                <w:rFonts w:cs="Arial" w:ascii="Garamond" w:hAnsi="Garamond"/>
                <w:sz w:val="20"/>
                <w:szCs w:val="20"/>
              </w:rPr>
              <w:t>potrafi samodzielnie rozwijać, pogłębiać i wykorzystywać swojej wiedzy z zakresu endokrynologii;</w:t>
            </w:r>
          </w:p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nie potrafi zająć własnego stanowiska, argumentować i dyskutować.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65 %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80 %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95 %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nie jest gotowy do zrozumienia zagadnienia/ problemu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702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Mogą nastąpić zmiany w trybie prowadzenia zajęć w zależności od sytuacji związanej z zakażeniem Covid-19.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Rola układu dokrewnego w utrzymaniu homeostazy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Rodzaje hormonów, receptory.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Wpływ hormonów podwzgórzowych na regulację funkcji przedniego płata przysadki mózgowej.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Hormony przedniego płata przysadki mózgowej.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Kontrola wydzielania tylnego płata przysadki. Nadczynność i niedoczynność przysadki mózgowej u człowieka.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Powstawanie i wydzielanie hormonów tarczycy. Transport i metabolizm hormonów tarczycy. Działanie hormonów tarczycy. Choroby gruczołu tarczowego.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Gruczoły przytarczyczne. Rola parathormonu i kalcytoniny w regulacji poziomu wapnia.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Funkcja endokrynna nerek.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Funkcja endokrynna szyszynki.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Czynność endokrynna trzustki i regulacja metabolizmu węglowodanów.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Nadnercza. Budowa i biosynteza hormonów kory i rdzenia nadnerczy. Fizjologiczne działanie glikokortykoidów i mineralokortykoidów. Działanie nadnerczowych androgenów i estrogenów. Nadczynność i niedoczynność kory nadnerczy u ludzi.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Gonadotropiny przysadkowe oraz prolaktyna.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Funkcja wewnątrzwydzielnicza jąder.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Cykl jajnikowy i maciczny. Hormony jajnikowe. Kontrola funkcji jajników.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Teoretyczne i praktyczne poznanie metod stosowanych do oceny funkcjonowania układu hormonalnego: oznaczenia stężenia wybranych hormonów w materiale biologicznym immunoenzymatyczną metodą ELISA, wpływ czynników endo-i egzogennych na funkcjonowanie układu dokrewnego.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03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O’Neill R, Murphy R. 2019. Endokrynologia crash course. Wyd. Edra.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/>
              <w:t>Kania B.F. 2015. Endokrynologia komórkowa w zarysie. Wyd. UR Kraków.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6b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71657"/>
    <w:rPr>
      <w:sz w:val="22"/>
      <w:szCs w:val="2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171657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08cc"/>
    <w:pPr>
      <w:spacing w:before="0" w:after="200"/>
      <w:ind w:left="720"/>
      <w:contextualSpacing/>
    </w:pPr>
    <w:rPr/>
  </w:style>
  <w:style w:type="paragraph" w:styleId="Zawartotabeli" w:customStyle="1">
    <w:name w:val="Zawartość tabeli"/>
    <w:basedOn w:val="Normal"/>
    <w:qFormat/>
    <w:rsid w:val="00f21cb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kitablic" w:customStyle="1">
    <w:name w:val="Nagłówki tablic"/>
    <w:basedOn w:val="BodyText"/>
    <w:qFormat/>
    <w:rsid w:val="00171657"/>
    <w:pPr>
      <w:tabs>
        <w:tab w:val="clear" w:pos="708"/>
        <w:tab w:val="left" w:pos="-5814" w:leader="none"/>
      </w:tabs>
      <w:overflowPunct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/>
      <w:b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Props1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LibreOffice/7.6.1.2$Windows_X86_64 LibreOffice_project/f5defcebd022c5bc36bbb79be232cb6926d8f674</Application>
  <AppVersion>15.0000</AppVersion>
  <Pages>20</Pages>
  <Words>1310</Words>
  <Characters>8463</Characters>
  <CharactersWithSpaces>9452</CharactersWithSpaces>
  <Paragraphs>322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2022-08-28T12:01:00Z</dcterms:created>
  <dc:creator>Monika</dc:creator>
  <dc:description/>
  <dc:language>pl-PL</dc:language>
  <cp:lastModifiedBy>Agnieszka Greń</cp:lastModifiedBy>
  <cp:lastPrinted>2012-01-27T06:28:00Z</cp:lastPrinted>
  <dcterms:modified xsi:type="dcterms:W3CDTF">2023-09-25T11:00:00Z</dcterms:modified>
  <cp:revision>6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