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  <w:t>Biologia, I stopień, stacjonarne, 202</w:t>
      </w:r>
      <w:r>
        <w:rPr>
          <w:rFonts w:cs="Arial" w:ascii="Arial" w:hAnsi="Arial"/>
          <w:i/>
          <w:sz w:val="22"/>
        </w:rPr>
        <w:t>3</w:t>
      </w:r>
      <w:r>
        <w:rPr>
          <w:rFonts w:cs="Arial" w:ascii="Arial" w:hAnsi="Arial"/>
          <w:i/>
          <w:sz w:val="22"/>
        </w:rPr>
        <w:t>/202</w:t>
      </w:r>
      <w:r>
        <w:rPr>
          <w:rFonts w:cs="Arial" w:ascii="Arial" w:hAnsi="Arial"/>
          <w:i/>
          <w:sz w:val="22"/>
        </w:rPr>
        <w:t>4</w:t>
      </w:r>
      <w:r>
        <w:rPr>
          <w:rFonts w:cs="Arial" w:ascii="Arial" w:hAnsi="Arial"/>
          <w:i/>
          <w:sz w:val="22"/>
        </w:rPr>
        <w:t>, semestr III</w:t>
      </w:r>
    </w:p>
    <w:p>
      <w:pPr>
        <w:pStyle w:val="Normal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</w:r>
    </w:p>
    <w:p>
      <w:pPr>
        <w:pStyle w:val="Normal"/>
        <w:jc w:val="right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Heading1"/>
        <w:rPr>
          <w:rFonts w:ascii="Arial" w:hAnsi="Arial" w:cs="Arial"/>
          <w:sz w:val="22"/>
        </w:rPr>
      </w:pPr>
      <w:r>
        <w:rPr>
          <w:rFonts w:cs="Arial" w:ascii="Arial" w:hAnsi="Arial"/>
          <w:b/>
          <w:bCs/>
          <w:sz w:val="24"/>
        </w:rPr>
        <w:t>KARTA KURSU</w:t>
      </w:r>
    </w:p>
    <w:p>
      <w:pPr>
        <w:pStyle w:val="Normal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84"/>
        <w:gridCol w:w="7655"/>
      </w:tblGrid>
      <w:tr>
        <w:trPr>
          <w:trHeight w:val="395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Fizjologia roślin </w:t>
            </w:r>
            <w:r>
              <w:rPr>
                <w:rFonts w:cs="Arial" w:ascii="Arial" w:hAnsi="Arial"/>
                <w:sz w:val="22"/>
                <w:szCs w:val="22"/>
              </w:rPr>
              <w:t>I i II</w:t>
            </w:r>
          </w:p>
        </w:tc>
      </w:tr>
      <w:tr>
        <w:trPr>
          <w:trHeight w:val="379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Plant physiology 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640" w:type="dxa"/>
        <w:jc w:val="left"/>
        <w:tblInd w:w="-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188"/>
        <w:gridCol w:w="3190"/>
        <w:gridCol w:w="3262"/>
      </w:tblGrid>
      <w:tr>
        <w:trPr>
          <w:cantSplit w:val="true"/>
        </w:trPr>
        <w:tc>
          <w:tcPr>
            <w:tcW w:w="3188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 hab. prof. UP Andrzej Rzepka</w:t>
            </w:r>
          </w:p>
        </w:tc>
        <w:tc>
          <w:tcPr>
            <w:tcW w:w="32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Zespół dydaktyczny</w:t>
            </w:r>
          </w:p>
        </w:tc>
      </w:tr>
      <w:tr>
        <w:trPr>
          <w:trHeight w:val="344" w:hRule="atLeast"/>
          <w:cantSplit w:val="true"/>
        </w:trPr>
        <w:tc>
          <w:tcPr>
            <w:tcW w:w="3188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9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2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 hab. prof. UP Andrzej Rzepka</w:t>
            </w:r>
          </w:p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 Grzegorz Rut</w:t>
            </w:r>
          </w:p>
        </w:tc>
      </w:tr>
      <w:tr>
        <w:trPr>
          <w:trHeight w:val="57" w:hRule="atLeast"/>
          <w:cantSplit w:val="true"/>
        </w:trPr>
        <w:tc>
          <w:tcPr>
            <w:tcW w:w="3188" w:type="dxa"/>
            <w:tcBorders>
              <w:top w:val="single" w:sz="2" w:space="0" w:color="95B3D7"/>
              <w:bottom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90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18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</w:r>
    </w:p>
    <w:p>
      <w:pPr>
        <w:pStyle w:val="Normal"/>
        <w:jc w:val="right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Opis kursu (cele kształcenia)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40"/>
      </w:tblGrid>
      <w:tr>
        <w:trPr>
          <w:trHeight w:val="1365" w:hRule="atLeast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Poznanie przebiegu i mechanizmów regulacji procesów życiowych u roślin. Charakterystyka gospodarki wodnej i mineralnej oraz metody pomiarowe wykorzystywane w opisie tych zagadnień. Opis podstawowych procesów fizjologicznych roślin (fotosynteza, oddychanie transpiracja); zrozumienie mechanizmów regulacji tych procesów przez czynniki środowiskowe. Wyjaśnienie znaczenia związków węgla dla funkcjonowania roślin.</w:t>
            </w:r>
            <w:r>
              <w:rPr/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Fizjologia wzrostu i rozwoju roślin. Kształtowanie umiejętności pomiaru podstawowych procesów fizjologicznych, umiejętności posługiwania się sprzętem laboratoryjnym, interpretacji i opisu wyników przeprowadzanych doświadczeń. Umiejętność pracy indywidualnej i współpracy w grupie.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Warunki wstępne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>
          <w:trHeight w:val="550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Znajomość przebiegu podstawowych procesów biochemicznych, biologii komórki, zjawisk fizycznych i chemicznych.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  <w:tr>
        <w:trPr>
          <w:trHeight w:val="577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 xml:space="preserve">Umiejętność powiązania budowy morfologicznej, anatomicznej </w:t>
              <w:br/>
              <w:t>i przystosowań roślin z funkcjonowaniem w różnych warunkach środowiskowych.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  <w:tr>
        <w:trPr/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Chemia nieorganiczna, chemia organiczna, systematyka roślin.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Efekty uczenia się</w:t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79"/>
        <w:gridCol w:w="5296"/>
        <w:gridCol w:w="2365"/>
      </w:tblGrid>
      <w:tr>
        <w:trPr>
          <w:trHeight w:val="930" w:hRule="atLeast"/>
          <w:cantSplit w:val="true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1838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W01 Opisuje znaczenie wody dla roślin na poziomie molekularnym, komórkowym i organizmu 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W02 Określa znaczenie gospodarki wodnej dla komórki i organizmu roślinnego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W03 Opisuje przebieg procesów fizjologicznych (fotosynteza, oddychanie, transpiracja) </w:t>
              <w:br/>
              <w:t>u organizmów roślinnych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W04 Objaśnia budowę i funkcje roślin w powiązaniu z przystosowaniami do środowiska życia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W05 Wskazuje znaczenie makro i mikroelementów dla prawidłowego wzrostu i rozwoju roślin naczyniowych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W06 Zna podstawowe mechanizmy wiązania dwutlenku węgla u roślin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W07 Tłumaczy przebieg procesów zachodzących na poszczególnych etapach wzrostu i rozwoju organizmu roślinnego 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W08 Wyjaśnia wpływ czynników środowiskowych na przebieg podstawowych procesów fizjologicznych roślin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K_W04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K_W02, K_W10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K_W03, K_W05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K_W19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K_W04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K_W03, K_W04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K_W19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K_W03, K_W04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246"/>
        <w:gridCol w:w="2410"/>
      </w:tblGrid>
      <w:tr>
        <w:trPr>
          <w:trHeight w:val="939" w:hRule="atLeast"/>
          <w:cantSplit w:val="true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2116" w:hRule="atLeast"/>
          <w:cantSplit w:val="true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U01 Przeprowadza eksperymenty wyjaśniające przebieg i mechanizm regulacji procesów </w:t>
              <w:br/>
              <w:t>w gospodarce wodnej i mineralnej na poziomie komórki i organizmu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U02 Weryfikuje wpływ czynników egzo </w:t>
              <w:br/>
              <w:t>i endogennych na intensywność przebiegu podstawowych procesów fizjologicznych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U03 Dokonuje analizy przebiegu danego procesu życiowego w powiązaniu z środowiskiem życia, korzystając z różnych  źródeł wiedzy 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U04 Wykorzystuje znajomość obsługi aparatury laboratoryjnej niezbędnej w pracy doświadczalnej.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U05 Dokonuje analizy danych pochodzących </w:t>
              <w:br/>
              <w:t>z różnych źródeł i wyciąga na tej podstawie wnioski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spacing w:lineRule="atLeast" w:line="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K_U01, K_U06, K_U08</w:t>
            </w:r>
          </w:p>
          <w:p>
            <w:pPr>
              <w:pStyle w:val="Normal"/>
              <w:spacing w:lineRule="atLeast" w:line="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tLeast" w:line="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tLeast" w:line="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tLeast" w:line="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tLeast" w:line="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K_U06, K_U08</w:t>
            </w:r>
          </w:p>
          <w:p>
            <w:pPr>
              <w:pStyle w:val="Normal"/>
              <w:spacing w:lineRule="atLeast" w:line="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tLeast" w:line="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tLeast" w:line="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tLeast" w:line="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K_U01, K_U06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tLeast" w:line="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K_U08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tLeast" w:line="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K_U09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246"/>
        <w:gridCol w:w="2410"/>
      </w:tblGrid>
      <w:tr>
        <w:trPr>
          <w:trHeight w:val="800" w:hRule="atLeast"/>
          <w:cantSplit w:val="true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Kompetencje społeczne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1984" w:hRule="atLeast"/>
          <w:cantSplit w:val="true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K01 Sprawnie organizuje pracę indywidualną </w:t>
              <w:br/>
              <w:t>i w grupie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K02 Dba o powierzony sprzęt laboratoryjny i szkło  zgodnie z obowiązującymi przepisami BHP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K03 Wykazuje zdolność do organizowania sobie stanowiska pracy doświadczalnej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spacing w:lineRule="atLeast" w:line="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K_K05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tLeast" w:line="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tLeast" w:line="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K_K03</w:t>
            </w:r>
          </w:p>
          <w:p>
            <w:pPr>
              <w:pStyle w:val="Normal"/>
              <w:spacing w:lineRule="atLeast" w:line="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tLeast" w:line="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tLeast" w:line="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K_K05, K_K03</w:t>
            </w:r>
          </w:p>
          <w:p>
            <w:pPr>
              <w:pStyle w:val="Normal"/>
              <w:spacing w:lineRule="atLeast" w:line="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610"/>
        <w:gridCol w:w="1226"/>
        <w:gridCol w:w="850"/>
        <w:gridCol w:w="272"/>
        <w:gridCol w:w="862"/>
        <w:gridCol w:w="315"/>
        <w:gridCol w:w="818"/>
        <w:gridCol w:w="285"/>
        <w:gridCol w:w="850"/>
        <w:gridCol w:w="283"/>
        <w:gridCol w:w="850"/>
        <w:gridCol w:w="285"/>
        <w:gridCol w:w="849"/>
        <w:gridCol w:w="284"/>
      </w:tblGrid>
      <w:tr>
        <w:trPr>
          <w:trHeight w:val="424" w:hRule="exact"/>
          <w:cantSplit w:val="true"/>
        </w:trPr>
        <w:tc>
          <w:tcPr>
            <w:tcW w:w="9639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Organizacja</w:t>
            </w:r>
          </w:p>
        </w:tc>
      </w:tr>
      <w:tr>
        <w:trPr>
          <w:trHeight w:val="654" w:hRule="atLeast"/>
          <w:cantSplit w:val="true"/>
        </w:trPr>
        <w:tc>
          <w:tcPr>
            <w:tcW w:w="161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Forma zajęć</w:t>
            </w:r>
          </w:p>
        </w:tc>
        <w:tc>
          <w:tcPr>
            <w:tcW w:w="1226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Wykład</w:t>
            </w:r>
          </w:p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(W)</w:t>
            </w:r>
          </w:p>
        </w:tc>
        <w:tc>
          <w:tcPr>
            <w:tcW w:w="6803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w grupach</w:t>
            </w:r>
          </w:p>
        </w:tc>
      </w:tr>
      <w:tr>
        <w:trPr>
          <w:trHeight w:val="477" w:hRule="atLeast"/>
          <w:cantSplit w:val="true"/>
        </w:trPr>
        <w:tc>
          <w:tcPr>
            <w:tcW w:w="161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26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1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16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Liczba godzin</w:t>
            </w:r>
          </w:p>
        </w:tc>
        <w:tc>
          <w:tcPr>
            <w:tcW w:w="12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60</w:t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62" w:hRule="atLeast"/>
        </w:trPr>
        <w:tc>
          <w:tcPr>
            <w:tcW w:w="16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</w:t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  <w:t>Opis metod prowadzenia zajęć</w:t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920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Wykłady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Wykłady (prezentacja multimedialna). Przebieg podstawowych procesów fizjologicznych </w:t>
              <w:br/>
              <w:t xml:space="preserve">u organizmów roślinnych. Współdziałanie i regulacja procesów metabolicznych w roślinach. Gospodarka wodna komórki i organizmu roślinnego. Gospodarka mineralna roślin. Obieg azotu </w:t>
              <w:br/>
              <w:t>i węgla w przyrodzie. Przebieg procesu fotosyntezy i wpływ czynników zewnętrznych na jego natężenie. Produkcja materii organicznej w środowisku wodnym i lądowym. Mechanizm wiązania dwutlenku węgla. Rola sygnalizacji wewnątrz i międzykomórkowej.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Ćwiczenia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Ćwiczenia laboratoryjne: eksperymenty wyjaśniające prawa i przebieg: gospodarki wodnej </w:t>
              <w:br/>
              <w:t>i mineralnej na poziomie komórki i organizmu roślinnego. Wpływ czynników zewnętrznych na natężenie fotosyntezy, rola barwników fotosyntetycznych w procesie asymilacji energii świetlnej. Wpływ czynników środowiskowych na oddychanie, fermentację kiełkowania nasion, działanie regulatorów wzrostu  rozwoju. Ruchy roślin.</w:t>
            </w:r>
          </w:p>
          <w:p>
            <w:pPr>
              <w:pStyle w:val="Normal"/>
              <w:widowControl/>
              <w:suppressAutoHyphens w:val="false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Formy sprawdzania efektów kształcenia</w:t>
      </w:r>
    </w:p>
    <w:tbl>
      <w:tblPr>
        <w:tblW w:w="96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"/>
        <w:gridCol w:w="665"/>
        <w:gridCol w:w="666"/>
        <w:gridCol w:w="667"/>
        <w:gridCol w:w="666"/>
        <w:gridCol w:w="665"/>
        <w:gridCol w:w="666"/>
        <w:gridCol w:w="667"/>
        <w:gridCol w:w="666"/>
        <w:gridCol w:w="564"/>
        <w:gridCol w:w="768"/>
        <w:gridCol w:w="667"/>
        <w:gridCol w:w="666"/>
        <w:gridCol w:w="665"/>
      </w:tblGrid>
      <w:tr>
        <w:trPr>
          <w:trHeight w:val="1616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E –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Gry dydaktyczne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Zajęcia terenowe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Projekt indywidualny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Referat</w:t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pisemna (esej)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pisemny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Inne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W04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W05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W06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W07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W08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U04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U05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/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Zawartotabeli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Ocena końcowa obejmuje zaliczenie z ćwiczeń (zaliczenie kolokwiów </w:t>
              <w:br/>
              <w:t>i sprawozdań) oraz egzaminu ustnego.</w:t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>
          <w:trHeight w:val="1089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Treści merytoryczne (wykaz tematów)</w:t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136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Osmoza (I, II)</w:t>
            </w:r>
          </w:p>
          <w:p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Koloidy</w:t>
            </w:r>
          </w:p>
          <w:p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Pęcznienie</w:t>
            </w:r>
          </w:p>
          <w:p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Gleby </w:t>
            </w:r>
          </w:p>
          <w:p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Gospodarka mineralna </w:t>
            </w:r>
          </w:p>
          <w:p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Barwniki</w:t>
            </w:r>
          </w:p>
          <w:p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Fotosynteza </w:t>
            </w:r>
          </w:p>
          <w:p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Fermentacja</w:t>
            </w:r>
          </w:p>
          <w:p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Oddychanie tlenowe </w:t>
            </w:r>
          </w:p>
          <w:p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Parowanie i przewodzenie </w:t>
            </w:r>
          </w:p>
          <w:p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Wzrost i rozwój roślin (I, II)</w:t>
            </w:r>
          </w:p>
          <w:p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Ruchy roślin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Wykaz literatury podstawowej</w:t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098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Web"/>
              <w:spacing w:beforeAutospacing="0" w:before="0" w:after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Kopcewicz J., Lewak S.: Fizjologia roślin. PWN, Warszawa, 2012</w:t>
            </w:r>
          </w:p>
          <w:p>
            <w:pPr>
              <w:pStyle w:val="NormalWeb"/>
              <w:spacing w:beforeAutospacing="0" w:before="0" w:after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Kozłowska M.: Fizjologia roślin. PWRiL, Poznań, 2007</w:t>
            </w:r>
          </w:p>
          <w:p>
            <w:pPr>
              <w:pStyle w:val="NormalWeb"/>
              <w:spacing w:beforeAutospacing="0" w:before="0" w:after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Kopcewicz J., Lewak S.: Podstawy fizjologii roślin. PWN, Warszawa, 1998</w:t>
            </w:r>
          </w:p>
          <w:p>
            <w:pPr>
              <w:pStyle w:val="NormalWeb"/>
              <w:spacing w:beforeAutospacing="0" w:before="0" w:after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Hans B.D., Hooper N.M.: Biochemia. PWN, Warszawa, 2002</w:t>
            </w:r>
          </w:p>
          <w:p>
            <w:pPr>
              <w:pStyle w:val="NormalWeb"/>
              <w:spacing w:beforeAutospacing="0" w:before="0" w:after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Lewak S., Kopcewicz J.: Fizjologia roślin. Wprowadzenie. PWN, Warszawa, 2009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Filek M., Biesaga-Ko</w:t>
            </w:r>
            <w:r>
              <w:rPr>
                <w:rFonts w:eastAsia="TimesNewRoman" w:cs="Arial" w:ascii="Arial" w:hAnsi="Arial"/>
                <w:sz w:val="22"/>
                <w:szCs w:val="22"/>
              </w:rPr>
              <w:t>ś</w:t>
            </w:r>
            <w:r>
              <w:rPr>
                <w:rFonts w:cs="Arial" w:ascii="Arial" w:hAnsi="Arial"/>
                <w:sz w:val="22"/>
                <w:szCs w:val="22"/>
              </w:rPr>
              <w:t>cielniak J., Marci</w:t>
            </w:r>
            <w:r>
              <w:rPr>
                <w:rFonts w:eastAsia="TimesNewRoman" w:cs="Arial" w:ascii="Arial" w:hAnsi="Arial"/>
                <w:sz w:val="22"/>
                <w:szCs w:val="22"/>
              </w:rPr>
              <w:t>ń</w:t>
            </w:r>
            <w:r>
              <w:rPr>
                <w:rFonts w:cs="Arial" w:ascii="Arial" w:hAnsi="Arial"/>
                <w:sz w:val="22"/>
                <w:szCs w:val="22"/>
              </w:rPr>
              <w:t xml:space="preserve">ska I.: Analytical methods in plant stress biology PAN Kraków, 2004 </w:t>
            </w:r>
          </w:p>
          <w:p>
            <w:pPr>
              <w:pStyle w:val="Normal"/>
              <w:widowControl/>
              <w:suppressAutoHyphens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Szwejkowska A.: Fizjologia roślin. WN UAM Poznań, 1997</w:t>
            </w:r>
          </w:p>
          <w:p>
            <w:pPr>
              <w:pStyle w:val="NormalWeb"/>
              <w:spacing w:beforeAutospacing="0" w:before="0" w:afterAutospacing="0" w:after="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Zurzycki J., Michniewicz M.: Fizjologia roślin, PWRiL, Warszawa, 1985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Wykaz literatury uzupełniającej</w:t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841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Górecki R.J., Grzesiuk S.: Fizjologia plonowania roślin. UW-M Olsztyn, 2002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Hall D.O., Rao K.K.: Fotosynteza. Wydawnictwa Naukowo Techniczne, Warszawa, 1999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Taiz L., Zeiger E.: Plant Physiology. </w:t>
            </w:r>
            <w:r>
              <w:rPr>
                <w:rFonts w:cs="Arial" w:ascii="Arial" w:hAnsi="Arial"/>
                <w:sz w:val="22"/>
                <w:szCs w:val="22"/>
                <w:lang w:val="en-US"/>
              </w:rPr>
              <w:t>Sinauer Ass., Inc., Publishers, 2006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 xml:space="preserve">Harborne J.B.: Ekologia biochemiczna. </w:t>
            </w:r>
            <w:r>
              <w:rPr>
                <w:rFonts w:cs="Arial" w:ascii="Arial" w:hAnsi="Arial"/>
                <w:sz w:val="22"/>
                <w:szCs w:val="22"/>
              </w:rPr>
              <w:t>PWN, Warszawa, 1997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Kozłowska M. Konieczny G.: Biologia odporno</w:t>
            </w:r>
            <w:r>
              <w:rPr>
                <w:rFonts w:eastAsia="TimesNewRoman" w:cs="Arial" w:ascii="Arial" w:hAnsi="Arial"/>
                <w:sz w:val="22"/>
                <w:szCs w:val="22"/>
              </w:rPr>
              <w:t>ś</w:t>
            </w:r>
            <w:r>
              <w:rPr>
                <w:rFonts w:cs="Arial" w:ascii="Arial" w:hAnsi="Arial"/>
                <w:sz w:val="22"/>
                <w:szCs w:val="22"/>
              </w:rPr>
              <w:t>ci ro</w:t>
            </w:r>
            <w:r>
              <w:rPr>
                <w:rFonts w:eastAsia="TimesNewRoman" w:cs="Arial" w:ascii="Arial" w:hAnsi="Arial"/>
                <w:sz w:val="22"/>
                <w:szCs w:val="22"/>
              </w:rPr>
              <w:t>ś</w:t>
            </w:r>
            <w:r>
              <w:rPr>
                <w:rFonts w:cs="Arial" w:ascii="Arial" w:hAnsi="Arial"/>
                <w:sz w:val="22"/>
                <w:szCs w:val="22"/>
              </w:rPr>
              <w:t>lin na patogeny i szkodniki. AR Pozna</w:t>
            </w:r>
            <w:r>
              <w:rPr>
                <w:rFonts w:eastAsia="TimesNewRoman" w:cs="Arial" w:ascii="Arial" w:hAnsi="Arial"/>
                <w:sz w:val="22"/>
                <w:szCs w:val="22"/>
              </w:rPr>
              <w:t xml:space="preserve">ń, </w:t>
            </w:r>
            <w:r>
              <w:rPr>
                <w:rFonts w:cs="Arial" w:ascii="Arial" w:hAnsi="Arial"/>
                <w:sz w:val="22"/>
                <w:szCs w:val="22"/>
              </w:rPr>
              <w:t>2003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Skrabka H.: Ro</w:t>
            </w:r>
            <w:r>
              <w:rPr>
                <w:rFonts w:eastAsia="TimesNewRoman" w:cs="Arial" w:ascii="Arial" w:hAnsi="Arial"/>
                <w:sz w:val="22"/>
                <w:szCs w:val="22"/>
              </w:rPr>
              <w:t>ś</w:t>
            </w:r>
            <w:r>
              <w:rPr>
                <w:rFonts w:cs="Arial" w:ascii="Arial" w:hAnsi="Arial"/>
                <w:sz w:val="22"/>
                <w:szCs w:val="22"/>
              </w:rPr>
              <w:t xml:space="preserve">lina a </w:t>
            </w:r>
            <w:r>
              <w:rPr>
                <w:rFonts w:eastAsia="TimesNewRoman" w:cs="Arial" w:ascii="Arial" w:hAnsi="Arial"/>
                <w:sz w:val="22"/>
                <w:szCs w:val="22"/>
              </w:rPr>
              <w:t>ś</w:t>
            </w:r>
            <w:r>
              <w:rPr>
                <w:rFonts w:cs="Arial" w:ascii="Arial" w:hAnsi="Arial"/>
                <w:sz w:val="22"/>
                <w:szCs w:val="22"/>
              </w:rPr>
              <w:t>rodowisko. Sposoby przystosowania si</w:t>
            </w:r>
            <w:r>
              <w:rPr>
                <w:rFonts w:eastAsia="TimesNewRoman" w:cs="Arial" w:ascii="Arial" w:hAnsi="Arial"/>
                <w:sz w:val="22"/>
                <w:szCs w:val="22"/>
              </w:rPr>
              <w:t xml:space="preserve">ę </w:t>
            </w:r>
            <w:r>
              <w:rPr>
                <w:rFonts w:cs="Arial" w:ascii="Arial" w:hAnsi="Arial"/>
                <w:sz w:val="22"/>
                <w:szCs w:val="22"/>
              </w:rPr>
              <w:t>ro</w:t>
            </w:r>
            <w:r>
              <w:rPr>
                <w:rFonts w:eastAsia="TimesNewRoman" w:cs="Arial" w:ascii="Arial" w:hAnsi="Arial"/>
                <w:sz w:val="22"/>
                <w:szCs w:val="22"/>
              </w:rPr>
              <w:t>ś</w:t>
            </w:r>
            <w:r>
              <w:rPr>
                <w:rFonts w:cs="Arial" w:ascii="Arial" w:hAnsi="Arial"/>
                <w:sz w:val="22"/>
                <w:szCs w:val="22"/>
              </w:rPr>
              <w:t>lin do warunków stresowych. Wyd. Akad. Rolniczej, Wrocław, 1992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Skrabka H.: Zasady regulacji metabolizmu u ro</w:t>
            </w:r>
            <w:r>
              <w:rPr>
                <w:rFonts w:eastAsia="TimesNewRoman" w:cs="Arial" w:ascii="Arial" w:hAnsi="Arial"/>
                <w:sz w:val="22"/>
                <w:szCs w:val="22"/>
              </w:rPr>
              <w:t>ś</w:t>
            </w:r>
            <w:r>
              <w:rPr>
                <w:rFonts w:cs="Arial" w:ascii="Arial" w:hAnsi="Arial"/>
                <w:sz w:val="22"/>
                <w:szCs w:val="22"/>
              </w:rPr>
              <w:t>lin. Wyd. Akad. Rolniczej, Wrocław, 1996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Starck Z., Chołuj D., Niemyska B.: Fizjologiczne reakcje ro</w:t>
            </w:r>
            <w:r>
              <w:rPr>
                <w:rFonts w:eastAsia="TimesNewRoman" w:cs="Arial" w:ascii="Arial" w:hAnsi="Arial"/>
                <w:sz w:val="22"/>
                <w:szCs w:val="22"/>
              </w:rPr>
              <w:t>ś</w:t>
            </w:r>
            <w:r>
              <w:rPr>
                <w:rFonts w:cs="Arial" w:ascii="Arial" w:hAnsi="Arial"/>
                <w:sz w:val="22"/>
                <w:szCs w:val="22"/>
              </w:rPr>
              <w:t xml:space="preserve">lin na niekorzystne czynniki </w:t>
            </w:r>
            <w:r>
              <w:rPr>
                <w:rFonts w:eastAsia="TimesNewRoman" w:cs="Arial" w:ascii="Arial" w:hAnsi="Arial"/>
                <w:sz w:val="22"/>
                <w:szCs w:val="22"/>
              </w:rPr>
              <w:t>ś</w:t>
            </w:r>
            <w:r>
              <w:rPr>
                <w:rFonts w:cs="Arial" w:ascii="Arial" w:hAnsi="Arial"/>
                <w:sz w:val="22"/>
                <w:szCs w:val="22"/>
              </w:rPr>
              <w:t>rodowiska. Wyd. SGGW, Warszawa, 1995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Rut G., Grzesiak M.T., Maksymowicz A., Jurczyk B., Rzepka A., Hura K., Grzesiak S. (2021). </w:t>
            </w:r>
            <w:r>
              <w:rPr>
                <w:rFonts w:cs="Arial" w:ascii="Arial" w:hAnsi="Arial"/>
                <w:sz w:val="22"/>
                <w:szCs w:val="22"/>
                <w:lang w:val="en-US"/>
              </w:rPr>
              <w:t>Responses of a root system structure to soil compaction stress among maize (Zea mays L.) hybrids. Journal of Agronomy and Crop Science 1-14, https://doi.org/10.1111/jac.12530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Grzesiak M.T., Maksymowicz A., Jurczyk B., Hura T., Rut G., Rzepka A., Grzesiak S. (2021). </w:t>
            </w:r>
            <w:r>
              <w:rPr>
                <w:rFonts w:cs="Arial" w:ascii="Arial" w:hAnsi="Arial"/>
                <w:sz w:val="22"/>
                <w:szCs w:val="22"/>
                <w:lang w:val="en-US"/>
              </w:rPr>
              <w:t>Selection approaches to the variation of responses to soil compaction stress among maize hybrids (Zea mays L.). Journal of Agronomy and Crop Science 1-13, https://doi.org/10.1111/jac.12491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  <w:lang w:val="en-US"/>
        </w:rPr>
      </w:pPr>
      <w:r>
        <w:rPr>
          <w:rFonts w:cs="Arial" w:ascii="Arial" w:hAnsi="Arial"/>
          <w:sz w:val="22"/>
          <w:szCs w:val="16"/>
          <w:lang w:val="en-US"/>
        </w:rPr>
      </w:r>
    </w:p>
    <w:p>
      <w:pPr>
        <w:pStyle w:val="Normal"/>
        <w:rPr>
          <w:rFonts w:ascii="Arial" w:hAnsi="Arial" w:cs="Arial"/>
          <w:sz w:val="22"/>
          <w:szCs w:val="16"/>
          <w:lang w:val="en-US"/>
        </w:rPr>
      </w:pPr>
      <w:r>
        <w:rPr>
          <w:rFonts w:cs="Arial" w:ascii="Arial" w:hAnsi="Arial"/>
          <w:sz w:val="22"/>
          <w:szCs w:val="16"/>
          <w:lang w:val="en-US"/>
        </w:rPr>
      </w:r>
    </w:p>
    <w:p>
      <w:pPr>
        <w:pStyle w:val="Tekstdymka1"/>
        <w:rPr>
          <w:rFonts w:ascii="Arial" w:hAnsi="Arial" w:cs="Arial"/>
          <w:sz w:val="22"/>
          <w:lang w:val="en-US"/>
        </w:rPr>
      </w:pPr>
      <w:r>
        <w:rPr>
          <w:rFonts w:cs="Arial" w:ascii="Arial" w:hAnsi="Arial"/>
          <w:sz w:val="22"/>
          <w:lang w:val="en-US"/>
        </w:rPr>
      </w:r>
    </w:p>
    <w:p>
      <w:pPr>
        <w:pStyle w:val="Tekstdymka1"/>
        <w:rPr>
          <w:rFonts w:ascii="Arial" w:hAnsi="Arial" w:cs="Arial"/>
          <w:sz w:val="22"/>
          <w:lang w:val="en-US"/>
        </w:rPr>
      </w:pPr>
      <w:r>
        <w:rPr>
          <w:rFonts w:cs="Arial" w:ascii="Arial" w:hAnsi="Arial"/>
          <w:sz w:val="22"/>
          <w:lang w:val="en-US"/>
        </w:rPr>
      </w:r>
    </w:p>
    <w:p>
      <w:pPr>
        <w:pStyle w:val="Tekstdymka1"/>
        <w:rPr>
          <w:rFonts w:ascii="Arial" w:hAnsi="Arial" w:cs="Arial"/>
          <w:sz w:val="22"/>
          <w:lang w:val="en-US"/>
        </w:rPr>
      </w:pPr>
      <w:r>
        <w:rPr>
          <w:rFonts w:cs="Arial" w:ascii="Arial" w:hAnsi="Arial"/>
          <w:sz w:val="22"/>
          <w:lang w:val="en-US"/>
        </w:rPr>
      </w:r>
    </w:p>
    <w:p>
      <w:pPr>
        <w:pStyle w:val="Tekstdymka1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Bilans godzinowy zgodny z CNPS (Całkowity Nakład Pracy Studenta)</w:t>
      </w:r>
    </w:p>
    <w:tbl>
      <w:tblPr>
        <w:tblW w:w="95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66"/>
        <w:gridCol w:w="5749"/>
        <w:gridCol w:w="1067"/>
      </w:tblGrid>
      <w:tr>
        <w:trPr>
          <w:trHeight w:val="334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30</w:t>
            </w:r>
          </w:p>
        </w:tc>
      </w:tr>
      <w:tr>
        <w:trPr>
          <w:trHeight w:val="332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60</w:t>
            </w:r>
          </w:p>
        </w:tc>
      </w:tr>
      <w:tr>
        <w:trPr>
          <w:trHeight w:val="67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2</w:t>
            </w:r>
          </w:p>
        </w:tc>
      </w:tr>
      <w:tr>
        <w:trPr>
          <w:trHeight w:val="348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18</w:t>
            </w:r>
          </w:p>
        </w:tc>
      </w:tr>
      <w:tr>
        <w:trPr>
          <w:trHeight w:val="71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</w:tr>
      <w:tr>
        <w:trPr>
          <w:trHeight w:val="731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5</w:t>
            </w:r>
          </w:p>
        </w:tc>
      </w:tr>
      <w:tr>
        <w:trPr>
          <w:trHeight w:val="365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20</w:t>
            </w:r>
          </w:p>
        </w:tc>
      </w:tr>
      <w:tr>
        <w:trPr>
          <w:trHeight w:val="365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135</w:t>
            </w:r>
          </w:p>
        </w:tc>
      </w:tr>
      <w:tr>
        <w:trPr>
          <w:trHeight w:val="392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5</w:t>
            </w:r>
          </w:p>
        </w:tc>
      </w:tr>
    </w:tbl>
    <w:p>
      <w:pPr>
        <w:pStyle w:val="Tekstdymka1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Tekstdymka1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454" w:top="1276" w:footer="709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0" w:after="0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Heading1">
    <w:name w:val="Heading 1"/>
    <w:basedOn w:val="Normal"/>
    <w:next w:val="Normal"/>
    <w:qFormat/>
    <w:pPr>
      <w:keepNext w:val="true"/>
      <w:jc w:val="center"/>
      <w:outlineLvl w:val="0"/>
    </w:pPr>
    <w:rPr>
      <w:rFonts w:ascii="Verdana" w:hAnsi="Verdana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character" w:styleId="Pagenumber">
    <w:name w:val="page number"/>
    <w:qFormat/>
    <w:rPr>
      <w:sz w:val="14"/>
      <w:szCs w:val="14"/>
    </w:rPr>
  </w:style>
  <w:style w:type="character" w:styleId="Annotationreference">
    <w:name w:val="annotation reference"/>
    <w:semiHidden/>
    <w:qFormat/>
    <w:rPr>
      <w:sz w:val="16"/>
      <w:szCs w:val="16"/>
    </w:rPr>
  </w:style>
  <w:style w:type="character" w:styleId="Znakiprzypiswdolnych">
    <w:name w:val="Znaki przypisów dolnych"/>
    <w:semiHidden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topkaZnak" w:customStyle="1">
    <w:name w:val="Stopka Znak"/>
    <w:qFormat/>
    <w:rPr>
      <w:sz w:val="24"/>
      <w:szCs w:val="24"/>
    </w:rPr>
  </w:style>
  <w:style w:type="character" w:styleId="Wrtext" w:customStyle="1">
    <w:name w:val="wrtext"/>
    <w:basedOn w:val="DefaultParagraphFont"/>
    <w:qFormat/>
    <w:rsid w:val="00172d75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  <w:i/>
      <w:iCs/>
    </w:rPr>
  </w:style>
  <w:style w:type="paragraph" w:styleId="Zawartoramki" w:customStyle="1">
    <w:name w:val="Zawartość ramki"/>
    <w:basedOn w:val="BodyText"/>
    <w:qFormat/>
    <w:pPr/>
    <w:rPr/>
  </w:style>
  <w:style w:type="paragraph" w:styleId="Annotationtext">
    <w:name w:val="annotation text"/>
    <w:basedOn w:val="Normal"/>
    <w:semiHidden/>
    <w:qFormat/>
    <w:pPr/>
    <w:rPr>
      <w:sz w:val="20"/>
      <w:szCs w:val="20"/>
    </w:rPr>
  </w:style>
  <w:style w:type="paragraph" w:styleId="Tematkomentarza1" w:customStyle="1">
    <w:name w:val="Temat komentarza1"/>
    <w:basedOn w:val="Annotationtext"/>
    <w:next w:val="Annotationtext"/>
    <w:qFormat/>
    <w:pPr/>
    <w:rPr>
      <w:b/>
      <w:bCs/>
    </w:rPr>
  </w:style>
  <w:style w:type="paragraph" w:styleId="Tekstdymka1" w:customStyle="1">
    <w:name w:val="Tekst dymka1"/>
    <w:basedOn w:val="Normal"/>
    <w:qFormat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pPr/>
    <w:rPr>
      <w:sz w:val="20"/>
      <w:szCs w:val="20"/>
    </w:rPr>
  </w:style>
  <w:style w:type="paragraph" w:styleId="Default" w:customStyle="1">
    <w:name w:val="Default"/>
    <w:qFormat/>
    <w:rsid w:val="00172d7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ormalWeb">
    <w:name w:val="Normal (Web)"/>
    <w:basedOn w:val="Normal"/>
    <w:uiPriority w:val="99"/>
    <w:unhideWhenUsed/>
    <w:qFormat/>
    <w:rsid w:val="005c16d7"/>
    <w:pPr>
      <w:widowControl/>
      <w:suppressAutoHyphens w:val="false"/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LibreOffice/7.6.1.2$Windows_X86_64 LibreOffice_project/f5defcebd022c5bc36bbb79be232cb6926d8f674</Application>
  <AppVersion>15.0000</AppVersion>
  <Pages>6</Pages>
  <Words>1020</Words>
  <Characters>6558</Characters>
  <CharactersWithSpaces>7387</CharactersWithSpaces>
  <Paragraphs>203</Paragraphs>
  <Company>Akademia Pedagogiczna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2022-09-02T07:00:00Z</dcterms:created>
  <dc:creator>Barbara Wilk</dc:creator>
  <dc:description/>
  <dc:language>pl-PL</dc:language>
  <cp:lastModifiedBy/>
  <cp:lastPrinted>2021-01-12T21:37:00Z</cp:lastPrinted>
  <dcterms:modified xsi:type="dcterms:W3CDTF">2023-10-04T06:44:49Z</dcterms:modified>
  <cp:revision>5</cp:revision>
  <dc:subject/>
  <dc:title>KARTA KURSU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