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Załącznik nr 4 do Zarządzenia Nr RD/Z.0201-2/2018</w:t>
      </w:r>
    </w:p>
    <w:p>
      <w:pPr>
        <w:pStyle w:val="Normal"/>
        <w:keepNext w:val="true"/>
        <w:numPr>
          <w:ilvl w:val="0"/>
          <w:numId w:val="0"/>
        </w:numPr>
        <w:jc w:val="right"/>
        <w:outlineLvl w:val="0"/>
        <w:rPr>
          <w:rFonts w:ascii="Arial" w:hAnsi="Arial" w:cs="Arial"/>
          <w:b/>
          <w:bCs/>
          <w:szCs w:val="28"/>
        </w:rPr>
      </w:pPr>
      <w:r>
        <w:rPr>
          <w:i/>
          <w:iCs/>
        </w:rPr>
        <w:t>Biologia, 1. stopnia, stacjonarne, 202</w:t>
      </w:r>
      <w:r>
        <w:rPr>
          <w:i/>
          <w:iCs/>
        </w:rPr>
        <w:t>3</w:t>
      </w:r>
      <w:r>
        <w:rPr>
          <w:i/>
          <w:iCs/>
        </w:rPr>
        <w:t>/202</w:t>
      </w:r>
      <w:r>
        <w:rPr>
          <w:i/>
          <w:iCs/>
        </w:rPr>
        <w:t>4</w:t>
      </w:r>
      <w:r>
        <w:rPr>
          <w:i/>
          <w:iCs/>
        </w:rPr>
        <w:t>, sem. 5</w:t>
      </w:r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Heading1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Mikrobiologia i immunologia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Microbiology and immunology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Magdalena Greczek-Stachura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Magdalena Greczek-Stachura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hab. Bartosz Rózanowski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Kurs Podstawy mikrobiologii i immunologii obejmuje zagadnienia z mikrobiologii ogólnej, środowiskowej i lekarskiej oraz wybrane tematy z immunologii. Celem kursu jest zapoznanie studentów z budową organizmów prokariotycznych, z metodami hodowli i izolacji drobnoustrojów, z metodami barwienia i obserwacji preparatów mikrobiologicznych.Studenci przeprowadzają mikrobiologiczną analizę ilościową i jakościową.Sprawdzają wpływw warunków zewnętrznych na drobnoustroje,oraz zapoznają się z wybranymi procesami biochemicznymi prowadzonymi przez bakterie. Celem kształcenia jest kształtowanie umiejętności obserwacji i analizy danych doświadczalnych z zakresu mikrobiologii. Informacje z dziedziny immunologii oparciu o wiedzę z genetyki i biologii molekularnej poszerzą wiadomości dotyczące najnowszych badań z tej dziedziny. Kurs prowadzony jest w języku polskim.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55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Podstawowa wiedza z dziedziny biologii komórki i genetyki, biochemii i biologii molekularnej. Znajomość budowy kwasów nukleinowych, biosyntezy białka oraz procesów biochemicznych zachodzących w komórkach roślinnych i zwierzęcych.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>
          <w:trHeight w:val="577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Umiejętność posługiwania się mikroskopem oraz podstawowym sprzętem laboratoryjnym.Umiejętnośc pracy laboratoryjnej.  Umiejętność czytania ze zrozumieniem literatury naukowej z dziedziny biologii.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Biologia komórki, Biochemia, Genetyka, Podstawy biologii molekularnej.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Efekty uczenia się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 xml:space="preserve"> opisuje zjawiska fizyczne, chemiczne i mikrobiologiczne zachodzące w przyrodzie, </w:t>
            </w:r>
          </w:p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W02 tłumaczy związki i zależności między różnymi dyscyplinami nauk przyrodniczych, a w szczególności relacje między przyrodą ożywioną (mikroorganizmami) i nieożywioną</w:t>
            </w:r>
          </w:p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W03 opisuje mechanizmy molekularne przekazywania informacji genetycznej, zasady rekombinacji genomu u organizmów prokariotycznych</w:t>
            </w:r>
          </w:p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W04 zna budowę komórki prokariotycznej i potrafi porównać ją z komórka eukariotyczną</w:t>
            </w:r>
          </w:p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W05 charakteryzuje organizację i funkcjonowanie zespołów mikroorganizmów</w:t>
            </w:r>
          </w:p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W06 zna relacje pomiędzy mikrobami a środowiskiem</w:t>
            </w:r>
          </w:p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W07 omawia wpływ mikroorganizmów na środowisko</w:t>
            </w:r>
          </w:p>
          <w:p>
            <w:pPr>
              <w:pStyle w:val="Normal"/>
              <w:tabs>
                <w:tab w:val="clear" w:pos="708"/>
                <w:tab w:val="left" w:pos="825" w:leader="none"/>
              </w:tabs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825" w:leader="none"/>
              </w:tabs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W08 zna główne grupy systematyczne i potrafi uzasadnić klasyfikację w oparciu o metody molekularne</w:t>
            </w:r>
          </w:p>
          <w:p>
            <w:pPr>
              <w:pStyle w:val="Normal"/>
              <w:tabs>
                <w:tab w:val="clear" w:pos="708"/>
                <w:tab w:val="left" w:pos="825" w:leader="none"/>
              </w:tabs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825" w:leader="none"/>
              </w:tabs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W09 przedstawia założenia teorii komórkowej i pozycję wirusów</w:t>
            </w:r>
          </w:p>
          <w:p>
            <w:pPr>
              <w:pStyle w:val="Normal"/>
              <w:tabs>
                <w:tab w:val="clear" w:pos="708"/>
                <w:tab w:val="left" w:pos="825" w:leader="none"/>
              </w:tabs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825" w:leader="none"/>
              </w:tabs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W10 opisuje wybrane bakterie patogenne człowieka</w:t>
            </w:r>
          </w:p>
          <w:p>
            <w:pPr>
              <w:pStyle w:val="Normal"/>
              <w:tabs>
                <w:tab w:val="clear" w:pos="708"/>
                <w:tab w:val="left" w:pos="825" w:leader="none"/>
              </w:tabs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825" w:leader="none"/>
              </w:tabs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W11 ma wpojone zasady bezpieczeństwa i higieny pracy w pracowni mikrobiologicznej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K_W02, K_W04, K_W05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K_W11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K_W06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K_W11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K_W11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K_W11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K_W14, K_W16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K_W17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K_W07</w:t>
            </w:r>
          </w:p>
          <w:p>
            <w:pPr>
              <w:pStyle w:val="Normal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K_W23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 Stosuje podstawowe techniki i narzędzia badawcze mikrobiologii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 Posługuje się literaturą naukową z zakresu mikrobiologii i immunologii w języku polskim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 Potrafi korzystać z dostępnych źródeł informacji na temat mikrobiologii i immunologii, w tym ze źródeł elektronicznych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 Pod kierunkiem prowadzącego wykonuje podstawowe badania i analizy mikrobiologiczne i testy immunologiczne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U05 Potrafi posługiwać się językiem naukowym typowym dla mikrobiologii i immunologii.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K_U01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K_U06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K_U10.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K01Rozumie konieczność uczenia się ustawicznego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 Jest odpowiedzialny za sprzęt i za właściwe zachowanie w laboratorium i potrafi współpracować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 Pracuje indywidualnie jak i w grupie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K04 Ma krytyczny stosunek do informacji podawanych w mediach z zakresu mikrobiologii i immunologii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K_K01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K_K03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K_K05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K_K04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Wykłady z wykorzystaniem programu Power Point oraz innych prezentacji multimedialnych</w:t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Zajęcia laboratoryjne indywidualne wykonanie i obserwacja mikroskopowa wybarwionych różnymi metodami preparatów w celu poznania budowy komórki bakteryjnej jak i wstępnej identyfikacji drobnoustrojów. Bakterie fermentacji mlekowej- obserwacja wybarwionych preparatów i analiza ilościowa met,enzymatyczną (próba na reduktazę) świeżości prób mleka.  W oparciu o cechy budowy i reakcje biochemiczne prowadzone przez bakterie wnioskowanie o przynależności systematycznej bakterii.Wykonanie skórnych testów alergicznych met, skaryfikacyjną -obserwacja i ocena reakcji organizmu na badane alergeny.</w:t>
            </w:r>
          </w:p>
          <w:p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Projekty zespołowe: wykonanie analizy ilościowej wody, określanie wpływu temperatury i związków chemicznych na bakterie, Dyskusja problemów mikrobiologii i immunologii w oparciu o literaturę z dziedziny mikrobiologii i immunologii.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uczenia się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BalloonText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W08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W09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W10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W11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Moduł zalicza student, który osiągnął WSZYSTKIE zakładane dla modułu efekty kształcenia na najniższym dopuszczalnym, poziomie zaliczając pisemnie ćwiczenia na ocenę pozytywną i zdając egzamin testowy. Ocenę pozytywną otrzymuje student, który osiągnie 50%+1 maksymalnej liczby punktów.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Stopień zaawansowania osiągnięcia efektów kształcenia dla modułu nie wpływa na liczbę punków ECTS i fakt zaliczenia.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Kurs jest prowadzony w języku polskim.</w:t>
            </w:r>
          </w:p>
          <w:p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Tematy ćwiczeń: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 Zasady pracy z materiałem mikrobiologicznym.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 Morfologia komórek bakteryjnych.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 Obserwacja bakterii w preparatach barwionych.( Barwienie proste. Barwienie metodą Grama  . Barwienia negatywowe. Barwienie przetrwalników metodą Moellera. Barwienie przetrwalników metodą Schaeffera-Fultona w modyfikacji Wirtza.)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/>
              <w:ind w:hanging="2268" w:left="22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5. Ruch bakterii. (Preparat: „kropla wisząca”)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/>
              <w:ind w:hanging="2268" w:left="22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6. Obserwacja i ocena kolonie bakteryjnych.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/>
              <w:ind w:hanging="2268" w:left="22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7. Pożywki mikrobiologiczne -zasady przygotowania pożywek, metodyposiewu bakterii.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/>
              <w:ind w:hanging="356" w:left="35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8. Mikrobiologiczna analiza ilościowa. ( Próba reduktazowa. Metoda nefelometryczna. Analiza wody metodą płytkową Kocha. Oznaczanie miana colibadanych prób wody).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hanging="0"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9. Wpływ temperatury na bakterie. (Czas śmierci cieplnej. Optymalna temperatura wzrostu wybranych bakterii.) Sterylizacja.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/>
              <w:ind w:hanging="2127" w:left="21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10. Wpływ środków chemicznych na bakterie.Metody dezynfekcja.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/>
              <w:ind w:hanging="2127" w:left="21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11. Bakterie fermentacji mlekowej. (Ocena jakości mikrobiologicznej produktów mlecznych- obserwacja mikrosopowa wybarwionych preparatów).</w:t>
            </w:r>
          </w:p>
          <w:p>
            <w:pPr>
              <w:pStyle w:val="Normal"/>
              <w:tabs>
                <w:tab w:val="clear" w:pos="708"/>
                <w:tab w:val="left" w:pos="709" w:leader="none"/>
              </w:tabs>
              <w:spacing w:lineRule="auto" w:line="360"/>
              <w:ind w:hanging="2127" w:left="2127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Tematy wykładów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Budowa komórki bakteryjnej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Ściana komórkowa bakterii gramdodatnich i gramujemnych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Przetrwalniki bakteryjne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Prokarionty w środowisku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Bakterie a ewolucja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709" w:leader="none"/>
              </w:tabs>
              <w:spacing w:lineRule="auto" w:line="36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Wzrost bakterii </w:t>
            </w:r>
          </w:p>
          <w:p>
            <w:pPr>
              <w:pStyle w:val="BalloonText1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699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  <w:lang w:val="en-US"/>
              </w:rPr>
              <w:t xml:space="preserve">Salyers A.A., Witt D.D. Mikrobiologia. </w:t>
            </w:r>
            <w:r>
              <w:rPr>
                <w:rFonts w:cs="Arial" w:ascii="Arial" w:hAnsi="Arial"/>
                <w:sz w:val="22"/>
                <w:szCs w:val="16"/>
              </w:rPr>
              <w:t>Wyd. Naukowe PWN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Kunicki-Goldfinger W.J. Życie bakterii. Wyd. Naukowe PWN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Jawetz E. Przegląd mikrobiologii lekarskiej. Wyd. Naukowe PWN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Libudzisz Z. Mikrobiologia techniczna. Wyd. Politechniki Łódzkiej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Chmiel A. Biotechnologia. Wyd. Naukowe PWN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Gołąb J. Immunologia. Wyd. Naukowe PWN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Greczek-Stachura M., Bator T. 2015. Ćwiczenia z mikrobiologii ogólnej. Podręcznik dla studentów kierunków przyrodniczych.Wyd.UP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Markiewicz Z. Struktura i funkcja osłon bakteryjnych. Wyd. Naukowe PWN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  <w:lang w:val="en-US"/>
              </w:rPr>
            </w:pPr>
            <w:r>
              <w:rPr>
                <w:rFonts w:cs="Arial" w:ascii="Arial" w:hAnsi="Arial"/>
                <w:sz w:val="22"/>
                <w:szCs w:val="16"/>
              </w:rPr>
              <w:t xml:space="preserve">Roith J. Immunologia. </w:t>
            </w:r>
            <w:r>
              <w:rPr>
                <w:rFonts w:cs="Arial" w:ascii="Arial" w:hAnsi="Arial"/>
                <w:sz w:val="22"/>
                <w:szCs w:val="16"/>
                <w:lang w:val="en-US"/>
              </w:rPr>
              <w:t>PZWL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  <w:lang w:val="en-US"/>
              </w:rPr>
            </w:pPr>
            <w:r>
              <w:rPr>
                <w:rFonts w:cs="Arial" w:ascii="Arial" w:hAnsi="Arial"/>
                <w:sz w:val="22"/>
                <w:szCs w:val="16"/>
                <w:lang w:val="en-US"/>
              </w:rPr>
              <w:t>Stonczewski J.L. Microbiology an evolving science.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16"/>
                <w:lang w:val="en-US"/>
              </w:rPr>
            </w:pPr>
            <w:r>
              <w:rPr>
                <w:rFonts w:cs="Arial" w:ascii="Arial" w:hAnsi="Arial"/>
                <w:sz w:val="22"/>
                <w:szCs w:val="16"/>
                <w:lang w:val="en-US"/>
              </w:rPr>
              <w:t>Murray P,R. Mikrobiologia. Elsevier.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  <w:lang w:val="en-US"/>
        </w:rPr>
      </w:pPr>
      <w:r>
        <w:rPr>
          <w:rFonts w:cs="Arial" w:ascii="Arial" w:hAnsi="Arial"/>
          <w:sz w:val="22"/>
          <w:szCs w:val="16"/>
          <w:lang w:val="en-US"/>
        </w:rPr>
      </w:r>
    </w:p>
    <w:p>
      <w:pPr>
        <w:pStyle w:val="Normal"/>
        <w:rPr>
          <w:rFonts w:ascii="Arial" w:hAnsi="Arial" w:cs="Arial"/>
          <w:sz w:val="22"/>
          <w:szCs w:val="16"/>
          <w:lang w:val="en-US"/>
        </w:rPr>
      </w:pPr>
      <w:r>
        <w:rPr>
          <w:rFonts w:cs="Arial" w:ascii="Arial" w:hAnsi="Arial"/>
          <w:sz w:val="22"/>
          <w:szCs w:val="16"/>
          <w:lang w:val="en-US"/>
        </w:rPr>
      </w:r>
    </w:p>
    <w:p>
      <w:pPr>
        <w:pStyle w:val="BalloonText1"/>
        <w:rPr>
          <w:rFonts w:ascii="Arial" w:hAnsi="Arial" w:cs="Arial"/>
          <w:sz w:val="22"/>
          <w:lang w:val="en-US"/>
        </w:rPr>
      </w:pPr>
      <w:r>
        <w:rPr>
          <w:rFonts w:cs="Arial" w:ascii="Arial" w:hAnsi="Arial"/>
          <w:sz w:val="22"/>
          <w:lang w:val="en-US"/>
        </w:rPr>
      </w:r>
    </w:p>
    <w:p>
      <w:pPr>
        <w:pStyle w:val="BalloonText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Bilans godzinowy zgodny z CNPS (Całkowity Nakład Pracy Studenta)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20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40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25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/>
              <w:spacing w:lineRule="auto" w:line="276"/>
              <w:ind w:left="36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4</w:t>
            </w:r>
          </w:p>
        </w:tc>
      </w:tr>
    </w:tbl>
    <w:p>
      <w:pPr>
        <w:pStyle w:val="BalloonText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76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keepNext w:val="true"/>
      <w:spacing w:before="24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0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Verdana" w:hAnsi="Verdan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Pagenumber">
    <w:name w:val="page number"/>
    <w:semiHidden/>
    <w:qFormat/>
    <w:rPr>
      <w:sz w:val="14"/>
      <w:szCs w:val="14"/>
    </w:rPr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iprzypiswdolnych">
    <w:name w:val="Znaki przypisów dolnych"/>
    <w:semiHidden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opkaZnak" w:customStyle="1">
    <w:name w:val="Stopka Znak"/>
    <w:qFormat/>
    <w:rPr>
      <w:sz w:val="24"/>
      <w:szCs w:val="24"/>
    </w:rPr>
  </w:style>
  <w:style w:type="character" w:styleId="BalloonTextChar" w:customStyle="1">
    <w:name w:val="Balloon Text Char"/>
    <w:link w:val="BalloonText"/>
    <w:uiPriority w:val="99"/>
    <w:semiHidden/>
    <w:qFormat/>
    <w:rsid w:val="00827d3b"/>
    <w:rPr>
      <w:rFonts w:ascii="Tahoma" w:hAnsi="Tahoma" w:cs="Tahoma"/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semiHidden/>
    <w:qFormat/>
    <w:rsid w:val="009026ff"/>
    <w:rPr/>
  </w:style>
  <w:style w:type="character" w:styleId="CommentSubjectChar" w:customStyle="1">
    <w:name w:val="Comment Subject Char"/>
    <w:link w:val="Annotationsubject"/>
    <w:uiPriority w:val="99"/>
    <w:semiHidden/>
    <w:qFormat/>
    <w:rsid w:val="009026ff"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BodyText"/>
    <w:semiHidden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semiHidden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Footer">
    <w:name w:val="Foot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BodyText"/>
    <w:qFormat/>
    <w:pPr/>
    <w:rPr/>
  </w:style>
  <w:style w:type="paragraph" w:styleId="Annotationtext">
    <w:name w:val="annotation text"/>
    <w:basedOn w:val="Normal"/>
    <w:link w:val="CommentTextChar"/>
    <w:semiHidden/>
    <w:qFormat/>
    <w:pPr/>
    <w:rPr>
      <w:sz w:val="20"/>
      <w:szCs w:val="20"/>
    </w:rPr>
  </w:style>
  <w:style w:type="paragraph" w:styleId="CommentSubject1" w:customStyle="1">
    <w:name w:val="Comment Subject1"/>
    <w:basedOn w:val="Annotationtext"/>
    <w:next w:val="Annotationtext"/>
    <w:qFormat/>
    <w:pPr/>
    <w:rPr>
      <w:b/>
      <w:bCs/>
    </w:rPr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27d3b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9026f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zal_nr_4_karta_kursu_2019</Opi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698EB0-3716-4CA7-9047-C99DDC96E2D5}">
  <ds:schemaRefs>
    <ds:schemaRef ds:uri="http://schemas.microsoft.com/office/2006/metadata/properties"/>
    <ds:schemaRef ds:uri="b52c25fa-4a22-4f71-bd58-d08063dcb0d9"/>
  </ds:schemaRefs>
</ds:datastoreItem>
</file>

<file path=customXml/itemProps3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22F9B-2BB5-4A9F-AA6E-176BA22F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LibreOffice/7.6.1.2$Windows_X86_64 LibreOffice_project/f5defcebd022c5bc36bbb79be232cb6926d8f674</Application>
  <AppVersion>15.0000</AppVersion>
  <Pages>6</Pages>
  <Words>1118</Words>
  <Characters>7268</Characters>
  <CharactersWithSpaces>8121</CharactersWithSpaces>
  <Paragraphs>272</Paragraphs>
  <Company>Akademia Pedagogiczna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2022-09-06T20:46:00Z</dcterms:created>
  <dc:creator>Barbara Wilk</dc:creator>
  <dc:description/>
  <dc:language>pl-PL</dc:language>
  <cp:lastModifiedBy/>
  <cp:lastPrinted>2012-01-27T06:28:00Z</cp:lastPrinted>
  <dcterms:modified xsi:type="dcterms:W3CDTF">2023-10-04T13:09:36Z</dcterms:modified>
  <cp:revision>4</cp:revision>
  <dc:subject/>
  <dc:title>zal_nr_4_karta_kursu_2019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