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fldChar w:fldCharType="begin"/>
      </w:r>
      <w:r>
        <w:rPr>
          <w:sz w:val="24"/>
          <w:b/>
          <w:szCs w:val="24"/>
          <w:bCs/>
          <w:rFonts w:eastAsia="Times New Roman" w:cs="Arial" w:ascii="Arial" w:hAnsi="Arial"/>
          <w:lang w:eastAsia="pl-PL"/>
        </w:rPr>
        <w:instrText xml:space="preserve"> PAGE </w:instrText>
      </w:r>
      <w:r>
        <w:rPr>
          <w:sz w:val="24"/>
          <w:b/>
          <w:szCs w:val="24"/>
          <w:bCs/>
          <w:rFonts w:eastAsia="Times New Roman" w:cs="Arial" w:ascii="Arial" w:hAnsi="Arial"/>
          <w:lang w:eastAsia="pl-PL"/>
        </w:rPr>
        <w:fldChar w:fldCharType="separate"/>
      </w:r>
      <w:r>
        <w:rPr>
          <w:sz w:val="24"/>
          <w:b/>
          <w:szCs w:val="24"/>
          <w:bCs/>
          <w:rFonts w:eastAsia="Times New Roman" w:cs="Arial" w:ascii="Arial" w:hAnsi="Arial"/>
          <w:lang w:eastAsia="pl-PL"/>
        </w:rPr>
        <w:t>1</w:t>
      </w:r>
      <w:r>
        <w:rPr>
          <w:sz w:val="24"/>
          <w:b/>
          <w:szCs w:val="24"/>
          <w:bCs/>
          <w:rFonts w:eastAsia="Times New Roman" w:cs="Arial" w:ascii="Arial" w:hAnsi="Arial"/>
          <w:lang w:eastAsia="pl-PL"/>
        </w:rPr>
        <w:fldChar w:fldCharType="end"/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rStyle w:val="SubtleEmphasis"/>
          <w:color w:val="auto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Biologia laboratoryjna II stopień (</w:t>
      </w:r>
      <w:r>
        <w:rPr>
          <w:rFonts w:cs="Arial" w:ascii="Arial" w:hAnsi="Arial"/>
          <w:i/>
        </w:rPr>
        <w:t>nie</w:t>
      </w:r>
      <w:r>
        <w:rPr>
          <w:rFonts w:cs="Arial" w:ascii="Arial" w:hAnsi="Arial"/>
          <w:i/>
        </w:rPr>
        <w:t>stacjonarne) 202</w:t>
      </w:r>
      <w:r>
        <w:rPr>
          <w:rFonts w:cs="Arial" w:ascii="Arial" w:hAnsi="Arial"/>
          <w:i/>
          <w:lang w:val="pl-PL"/>
        </w:rPr>
        <w:t>3</w:t>
      </w:r>
      <w:r>
        <w:rPr>
          <w:rFonts w:cs="Arial" w:ascii="Arial" w:hAnsi="Arial"/>
          <w:i/>
        </w:rPr>
        <w:t>/202</w:t>
      </w:r>
      <w:r>
        <w:rPr>
          <w:rFonts w:cs="Arial" w:ascii="Arial" w:hAnsi="Arial"/>
          <w:i/>
          <w:lang w:val="pl-PL"/>
        </w:rPr>
        <w:t>4</w:t>
      </w:r>
      <w:r>
        <w:rPr>
          <w:rFonts w:cs="Arial" w:ascii="Arial" w:hAnsi="Arial"/>
          <w:i/>
        </w:rPr>
        <w:t>, sem. 1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Style w:val="4"/>
        <w:tblW w:w="9640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81"/>
        <w:gridCol w:w="7658"/>
      </w:tblGrid>
      <w:tr>
        <w:trPr>
          <w:trHeight w:val="395" w:hRule="atLeast"/>
        </w:trPr>
        <w:tc>
          <w:tcPr>
            <w:tcW w:w="19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</w:rPr>
              <w:t>Nowoczesne techniki laboratoryjne 1</w:t>
            </w:r>
          </w:p>
        </w:tc>
      </w:tr>
      <w:tr>
        <w:trPr>
          <w:trHeight w:val="379" w:hRule="atLeast"/>
        </w:trPr>
        <w:tc>
          <w:tcPr>
            <w:tcW w:w="19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/>
              </w:rPr>
              <w:t>Modern laboratory techniques 1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sz w:val="20"/>
          <w:szCs w:val="20"/>
          <w:lang w:val="en-US" w:eastAsia="pl-PL"/>
        </w:rPr>
      </w:r>
    </w:p>
    <w:tbl>
      <w:tblPr>
        <w:tblStyle w:val="4"/>
        <w:tblW w:w="9640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86"/>
        <w:gridCol w:w="3189"/>
        <w:gridCol w:w="3265"/>
      </w:tblGrid>
      <w:tr>
        <w:trPr>
          <w:cantSplit w:val="true"/>
        </w:trPr>
        <w:tc>
          <w:tcPr>
            <w:tcW w:w="318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dr hab. Gabriela Gołębiowska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pl-PL"/>
              </w:rPr>
              <w:t>-Paluch, prof. UP</w:t>
            </w:r>
          </w:p>
        </w:tc>
        <w:tc>
          <w:tcPr>
            <w:tcW w:w="326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8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dr hab. prof. UP Andrzej Kornaś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dr hab. Gabriela Gołębiowska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pl-PL"/>
              </w:rPr>
              <w:t>-Paluch, prof. UP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dr Jakub Oliwa</w:t>
            </w:r>
          </w:p>
        </w:tc>
      </w:tr>
      <w:tr>
        <w:trPr>
          <w:trHeight w:val="57" w:hRule="atLeast"/>
          <w:cantSplit w:val="true"/>
        </w:trPr>
        <w:tc>
          <w:tcPr>
            <w:tcW w:w="3186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89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5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2</w:t>
            </w:r>
            <w:r>
              <w:rPr>
                <w:rFonts w:cs="Arial" w:ascii="Arial" w:hAnsi="Arial"/>
                <w:kern w:val="0"/>
                <w:sz w:val="20"/>
                <w:szCs w:val="20"/>
                <w:lang w:val="pl-PL"/>
              </w:rPr>
              <w:t xml:space="preserve"> (część)</w:t>
            </w:r>
            <w:bookmarkStart w:id="0" w:name="_GoBack"/>
            <w:bookmarkEnd w:id="0"/>
          </w:p>
        </w:tc>
        <w:tc>
          <w:tcPr>
            <w:tcW w:w="3265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40"/>
      </w:tblGrid>
      <w:tr>
        <w:trPr>
          <w:trHeight w:val="903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kern w:val="0"/>
                <w:szCs w:val="16"/>
              </w:rPr>
              <w:t>Przedstawienie budowy i zasady funkcjonowania oraz możliwości praktycznego wykorzystania różnych typów mikroskopów fluorescencyjnych. Zapoznanie z podstawowymi metodami przygotowania i barwienia materiału roślinnego na potrzeby obserwacji we fluorescencji.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uczenia się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W01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Opisuje zasadę funkcjonowania i budowę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różnych mikroskopów optycznych i elektronowych.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W02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Zna metody przygotowania świeżych i utrwalonych preparatów do obserwacji mikroskopowej.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W03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Omawia barwienia stosowane w mikroskopii świetlnej i fluorescencyjnej.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W04, W05, W15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W04, W05, W15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W04, W05, W15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1"/>
        <w:gridCol w:w="5249"/>
        <w:gridCol w:w="2410"/>
      </w:tblGrid>
      <w:tr>
        <w:trPr>
          <w:trHeight w:val="939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116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U01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Wykonuje preparaty do obserwacji pod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mikroskopem optycznym i fluorescencyjnym.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U02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Dokonuje obserwacji pod mikroskopem optycznym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i fluorescencyjnym.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U03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Opisuje i dokumentuje uzyskany obraz.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U04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Przygotowuje wyniki w formie prezentacji.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U01, U02, U03, U05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U01, U02, U03, U05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U01, U02, U03, U05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U01, U02, U03, U05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1"/>
        <w:gridCol w:w="5249"/>
        <w:gridCol w:w="2410"/>
      </w:tblGrid>
      <w:tr>
        <w:trPr>
          <w:trHeight w:val="800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K01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Postępuje z powierzonym sprzętem laboratoryjnym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zgodnie z obowiązującymi procedurami.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K02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Samodzielnie planuje analizę.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K03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Organizuje wspólne wykonywanie zadań i pracę w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grupie.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K03, K05, K06, K07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K03, K05, K06, K07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K03, K05, K06, K07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08"/>
        <w:gridCol w:w="1229"/>
        <w:gridCol w:w="850"/>
        <w:gridCol w:w="272"/>
        <w:gridCol w:w="861"/>
        <w:gridCol w:w="316"/>
        <w:gridCol w:w="817"/>
        <w:gridCol w:w="286"/>
        <w:gridCol w:w="850"/>
        <w:gridCol w:w="282"/>
        <w:gridCol w:w="850"/>
        <w:gridCol w:w="288"/>
        <w:gridCol w:w="846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0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2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0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0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0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703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both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kern w:val="0"/>
                <w:szCs w:val="16"/>
              </w:rPr>
              <w:t>Ćwiczenia laboratoryjne z wykorzystaniem mikroskopów świetlnych i fluorescencyjnych oraz z wykorzystaniem prezentacji multimedialnych.</w:t>
            </w:r>
          </w:p>
        </w:tc>
      </w:tr>
    </w:tbl>
    <w:p>
      <w:pPr>
        <w:pStyle w:val="Normal"/>
        <w:widowControl w:val="false"/>
        <w:suppressLineNumbers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Formy sprawdzania efektów uczenia się</w:t>
      </w:r>
    </w:p>
    <w:tbl>
      <w:tblPr>
        <w:tblStyle w:val="4"/>
        <w:tblW w:w="97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664"/>
        <w:gridCol w:w="664"/>
        <w:gridCol w:w="699"/>
        <w:gridCol w:w="667"/>
        <w:gridCol w:w="696"/>
        <w:gridCol w:w="664"/>
        <w:gridCol w:w="666"/>
        <w:gridCol w:w="700"/>
        <w:gridCol w:w="562"/>
        <w:gridCol w:w="769"/>
        <w:gridCol w:w="664"/>
        <w:gridCol w:w="666"/>
        <w:gridCol w:w="666"/>
      </w:tblGrid>
      <w:tr>
        <w:trPr>
          <w:trHeight w:val="1616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Gry dydaktyczne</w:t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Ćwiczenia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 szkole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Zajęcia terenowe</w:t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Praca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laboratoryjna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Projekt grupowy</w:t>
            </w:r>
          </w:p>
        </w:tc>
        <w:tc>
          <w:tcPr>
            <w:tcW w:w="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Udział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 dyskusji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Praca pisemna (esej)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Obserwacja</w:t>
            </w:r>
          </w:p>
        </w:tc>
      </w:tr>
      <w:tr>
        <w:trPr>
          <w:trHeight w:val="244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Tekstdymka1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W01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W02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W03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U01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U02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U03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U04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K01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K02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K03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widowControl w:val="false"/>
        <w:suppressLineNumbers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39"/>
        <w:gridCol w:w="7700"/>
      </w:tblGrid>
      <w:tr>
        <w:trPr/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both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kern w:val="0"/>
                <w:szCs w:val="16"/>
              </w:rPr>
              <w:t>Ćwiczenia – obowiązkowa obecność (kontrola obecności na każdych ćwiczeniach), aktywność na zajęciach oraz przygotowanie indywidualnego sprawozdania (zaliczenie). Student wykonując pracę pisemną przestrzega zasad ochrony własności intelektualnej.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39"/>
        <w:gridCol w:w="7700"/>
      </w:tblGrid>
      <w:tr>
        <w:trPr>
          <w:trHeight w:val="373" w:hRule="atLeast"/>
        </w:trPr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kern w:val="0"/>
                <w:szCs w:val="16"/>
              </w:rPr>
              <w:t>Organizacja zajęć zgodna z Regulaminem Studiów.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Tekstdymka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Budowa i zasady działania mikroskopów fluorescencyjnych. Rodzaje oświetleń oraz filtrów. Obsługa mikroskopu fluorescencyjnego NIKON H600L, zmiana filtrów, ustawienia kamery, obserwacja różnic, obsługa programu NIKON Nis-elements oraz dokumentacja uzyskanych obrazów. Obserwacja w kontraście Nomarski’ego oraz mikroskopia ciemnego pola.</w:t>
            </w:r>
          </w:p>
          <w:p>
            <w:pPr>
              <w:pStyle w:val="Tekstdymka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Autofluorescencja - co i dlaczego daje fluorescencję i jak to wykorzystać. Przygotowanie materiału do obserwacji autofluorescencji. Jak wygasić niepożądaną fluorescencję u roślin. Obserwacja autofluorescencji w różnorodnym materiale biologicznym.</w:t>
            </w:r>
          </w:p>
          <w:p>
            <w:pPr>
              <w:pStyle w:val="Tekstdymka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Barwniki fluorescencyjne niespecyficzne: zasada działania i wynik. Samodzielne barwienie tkanek przy użyciu m.in. Calcofluor white, eozyny i safraniny.</w:t>
            </w:r>
          </w:p>
          <w:p>
            <w:pPr>
              <w:pStyle w:val="Tekstdymka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Znaczniki reakcji fizjologicznych. Znaczniki stężenia jonów i znaczniki fluorescencyjne pH. Barwienia przyżyciowe. Testy na żywotność komórek.</w:t>
            </w:r>
          </w:p>
          <w:p>
            <w:pPr>
              <w:pStyle w:val="Tekstdymka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Histochemiczne barwienia fluorescencyjne: DAPI (DNA), Błękit aniliny (kalloza), reakcja Schiffa (DNA) i barwnik Leischmana.</w:t>
            </w:r>
          </w:p>
          <w:p>
            <w:pPr>
              <w:pStyle w:val="Tekstdymka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Fluorochromy jako znaczniki przeciwciał w immunodetekcji.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kern w:val="0"/>
                <w:szCs w:val="16"/>
              </w:rPr>
              <w:t>Litwin, J. A., &amp; Gajda, M. (2011). Podstawy technik mikroskopowych. Wydawnictwo Uniwersytetu Jagiellońskiego.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kern w:val="0"/>
                <w:szCs w:val="16"/>
              </w:rPr>
              <w:t>Kurczyńska, E. U., &amp; Borowska-Wykręt, D. (2013). Mikroskopia świetlna w badaniach komórki roślinnej: ćwiczenia. Wydawnictwo Naukowe PWN.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kern w:val="0"/>
                <w:szCs w:val="16"/>
              </w:rPr>
              <w:t>Wróbel, B., Zienkiewicz, K., Smoliński, D. J., Niedojadło, J., &amp; Świdziński, M. (2005). Podstawy mikroskopii elektronowej. Wyd. UMK, Toruń.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kern w:val="0"/>
                <w:szCs w:val="16"/>
              </w:rPr>
              <w:t>Pluta, M. (1982). Mikroskopia optyczna. Państwowe Wydaw. Naukowe.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Wykaz literatury uzupełniającej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lang w:eastAsia="pl-PL"/>
              </w:rPr>
              <w:t xml:space="preserve">Lembicz, M., Miszalski, Z., </w:t>
            </w:r>
            <w:r>
              <w:rPr>
                <w:rFonts w:eastAsia="Times New Roman" w:cs="Arial" w:ascii="Arial" w:hAnsi="Arial"/>
                <w:b/>
                <w:bCs/>
                <w:kern w:val="0"/>
                <w:lang w:eastAsia="pl-PL"/>
              </w:rPr>
              <w:t>Kornaś, A.,</w:t>
            </w:r>
            <w:r>
              <w:rPr>
                <w:rFonts w:eastAsia="Times New Roman" w:cs="Arial" w:ascii="Arial" w:hAnsi="Arial"/>
                <w:kern w:val="0"/>
                <w:lang w:eastAsia="pl-PL"/>
              </w:rPr>
              <w:t xml:space="preserve"> &amp; Turnau, K. (2021). Cooling effect of fungal stromata in the Dactylis-Epichloë-Botanophila symbiosis. </w:t>
            </w:r>
            <w:r>
              <w:rPr>
                <w:rFonts w:eastAsia="Times New Roman" w:cs="Arial" w:ascii="Arial" w:hAnsi="Arial"/>
                <w:i/>
                <w:iCs/>
                <w:kern w:val="0"/>
                <w:lang w:eastAsia="pl-PL"/>
              </w:rPr>
              <w:t>Communicative &amp; integrative biology</w:t>
            </w:r>
            <w:r>
              <w:rPr>
                <w:rFonts w:eastAsia="Times New Roman" w:cs="Arial" w:ascii="Arial" w:hAnsi="Arial"/>
                <w:kern w:val="0"/>
                <w:lang w:eastAsia="pl-PL"/>
              </w:rPr>
              <w:t xml:space="preserve">, </w:t>
            </w:r>
            <w:r>
              <w:rPr>
                <w:rFonts w:eastAsia="Times New Roman" w:cs="Arial" w:ascii="Arial" w:hAnsi="Arial"/>
                <w:i/>
                <w:iCs/>
                <w:kern w:val="0"/>
                <w:lang w:eastAsia="pl-PL"/>
              </w:rPr>
              <w:t>14</w:t>
            </w:r>
            <w:r>
              <w:rPr>
                <w:rFonts w:eastAsia="Times New Roman" w:cs="Arial" w:ascii="Arial" w:hAnsi="Arial"/>
                <w:kern w:val="0"/>
                <w:lang w:eastAsia="pl-PL"/>
              </w:rPr>
              <w:t>(1), 151-157.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kern w:val="0"/>
                <w:lang w:val="en-GB"/>
              </w:rPr>
              <w:t xml:space="preserve">Dubas, E., Custers, J., Kieft, H., Wędzony, M., &amp; van Lammeren, A. A. (2014). Characterization of polarity development through 2-and 3-D imaging during the initial phase of microspore embryogenesis in </w:t>
            </w:r>
            <w:r>
              <w:rPr>
                <w:rFonts w:cs="Arial" w:ascii="Arial" w:hAnsi="Arial"/>
                <w:i/>
                <w:kern w:val="0"/>
                <w:lang w:val="en-GB"/>
              </w:rPr>
              <w:t>Brassica napus</w:t>
            </w:r>
            <w:r>
              <w:rPr>
                <w:rFonts w:cs="Arial" w:ascii="Arial" w:hAnsi="Arial"/>
                <w:kern w:val="0"/>
                <w:lang w:val="en-GB"/>
              </w:rPr>
              <w:t xml:space="preserve"> L. Protoplasma, 251(1), 103-113.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kern w:val="0"/>
              </w:rPr>
              <w:t>Szechyńska</w:t>
            </w:r>
            <w:r>
              <w:rPr>
                <w:rFonts w:cs="Cambria Math" w:ascii="Cambria Math" w:hAnsi="Cambria Math"/>
                <w:kern w:val="0"/>
              </w:rPr>
              <w:t>‐</w:t>
            </w:r>
            <w:r>
              <w:rPr>
                <w:rFonts w:cs="Arial" w:ascii="Arial" w:hAnsi="Arial"/>
                <w:kern w:val="0"/>
              </w:rPr>
              <w:t xml:space="preserve">Hebda, M., Hebda, M., Mierzwiński, D., Kuczyńska, P., Mirek, M., Wędzony, M., ... </w:t>
            </w:r>
            <w:r>
              <w:rPr>
                <w:rFonts w:cs="Arial" w:ascii="Arial" w:hAnsi="Arial"/>
                <w:kern w:val="0"/>
                <w:lang w:val="en-GB"/>
              </w:rPr>
              <w:t>&amp; Karpiński, S. (2013). Effect of cold</w:t>
            </w:r>
            <w:r>
              <w:rPr>
                <w:rFonts w:cs="Cambria Math" w:ascii="Cambria Math" w:hAnsi="Cambria Math"/>
                <w:kern w:val="0"/>
                <w:lang w:val="en-GB"/>
              </w:rPr>
              <w:t>‐</w:t>
            </w:r>
            <w:r>
              <w:rPr>
                <w:rFonts w:cs="Arial" w:ascii="Arial" w:hAnsi="Arial"/>
                <w:kern w:val="0"/>
                <w:lang w:val="en-GB"/>
              </w:rPr>
              <w:t xml:space="preserve">induced changes in physical and chemical leaf properties on the resistance of winter triticale (× </w:t>
            </w:r>
            <w:r>
              <w:rPr>
                <w:rFonts w:cs="Arial" w:ascii="Arial" w:hAnsi="Arial"/>
                <w:i/>
                <w:kern w:val="0"/>
                <w:lang w:val="en-GB"/>
              </w:rPr>
              <w:t>Triticosecale</w:t>
            </w:r>
            <w:r>
              <w:rPr>
                <w:rFonts w:cs="Arial" w:ascii="Arial" w:hAnsi="Arial"/>
                <w:kern w:val="0"/>
                <w:lang w:val="en-GB"/>
              </w:rPr>
              <w:t xml:space="preserve">) to the fungal pathogen </w:t>
            </w:r>
            <w:r>
              <w:rPr>
                <w:rFonts w:cs="Arial" w:ascii="Arial" w:hAnsi="Arial"/>
                <w:i/>
                <w:kern w:val="0"/>
                <w:lang w:val="en-GB"/>
              </w:rPr>
              <w:t>Microdochium nivale</w:t>
            </w:r>
            <w:r>
              <w:rPr>
                <w:rFonts w:cs="Arial" w:ascii="Arial" w:hAnsi="Arial"/>
                <w:kern w:val="0"/>
                <w:lang w:val="en-GB"/>
              </w:rPr>
              <w:t>. Plant Pathology, 62(4), 867-878.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kern w:val="0"/>
                <w:lang w:val="en-US"/>
              </w:rPr>
              <w:t xml:space="preserve">Dubas, E., </w:t>
            </w:r>
            <w:r>
              <w:rPr>
                <w:rFonts w:cs="Arial" w:ascii="Arial" w:hAnsi="Arial"/>
                <w:b/>
                <w:bCs/>
                <w:kern w:val="0"/>
                <w:lang w:val="en-US"/>
              </w:rPr>
              <w:t>Golebiowska, G.</w:t>
            </w:r>
            <w:r>
              <w:rPr>
                <w:rFonts w:cs="Arial" w:ascii="Arial" w:hAnsi="Arial"/>
                <w:kern w:val="0"/>
                <w:lang w:val="en-US"/>
              </w:rPr>
              <w:t xml:space="preserve">, Zur, I., &amp; Wedzony, M. (2011). </w:t>
            </w:r>
            <w:r>
              <w:rPr>
                <w:rFonts w:cs="Arial" w:ascii="Arial" w:hAnsi="Arial"/>
                <w:i/>
                <w:kern w:val="0"/>
                <w:lang w:val="en-GB"/>
              </w:rPr>
              <w:t>Microdochium nivale</w:t>
            </w:r>
            <w:r>
              <w:rPr>
                <w:rFonts w:cs="Arial" w:ascii="Arial" w:hAnsi="Arial"/>
                <w:kern w:val="0"/>
                <w:lang w:val="en-GB"/>
              </w:rPr>
              <w:t xml:space="preserve"> (Fr., Samuels &amp; Hallett): cytological analysis of the infection process in triticale (× </w:t>
            </w:r>
            <w:r>
              <w:rPr>
                <w:rFonts w:cs="Arial" w:ascii="Arial" w:hAnsi="Arial"/>
                <w:i/>
                <w:kern w:val="0"/>
                <w:lang w:val="en-GB"/>
              </w:rPr>
              <w:t>Triticosecale</w:t>
            </w:r>
            <w:r>
              <w:rPr>
                <w:rFonts w:cs="Arial" w:ascii="Arial" w:hAnsi="Arial"/>
                <w:kern w:val="0"/>
                <w:lang w:val="en-GB"/>
              </w:rPr>
              <w:t xml:space="preserve"> Wittm.). Acta physiologiae plantarum, 33(2), 529-537.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kern w:val="0"/>
              </w:rPr>
              <w:t>Wedzony, M. (1996). Mikroskopia fluorescencyjna dla botaników.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5690"/>
        <w:gridCol w:w="1158"/>
      </w:tblGrid>
      <w:tr>
        <w:trPr>
          <w:trHeight w:val="334" w:hRule="atLeast"/>
          <w:cantSplit w:val="true"/>
        </w:trPr>
        <w:tc>
          <w:tcPr>
            <w:tcW w:w="2747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Ilość godzin w kontakcie z prowadzącymi</w:t>
            </w:r>
          </w:p>
        </w:tc>
        <w:tc>
          <w:tcPr>
            <w:tcW w:w="56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Wykład</w:t>
            </w:r>
          </w:p>
        </w:tc>
        <w:tc>
          <w:tcPr>
            <w:tcW w:w="11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332" w:hRule="atLeast"/>
          <w:cantSplit w:val="true"/>
        </w:trPr>
        <w:tc>
          <w:tcPr>
            <w:tcW w:w="2747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1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15</w:t>
            </w:r>
          </w:p>
        </w:tc>
      </w:tr>
      <w:tr>
        <w:trPr>
          <w:trHeight w:val="670" w:hRule="atLeast"/>
          <w:cantSplit w:val="true"/>
        </w:trPr>
        <w:tc>
          <w:tcPr>
            <w:tcW w:w="2747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47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6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Lektura w ramach przygotowania do zajęć</w:t>
            </w:r>
          </w:p>
        </w:tc>
        <w:tc>
          <w:tcPr>
            <w:tcW w:w="11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10</w:t>
            </w:r>
          </w:p>
        </w:tc>
      </w:tr>
      <w:tr>
        <w:trPr>
          <w:trHeight w:val="710" w:hRule="atLeast"/>
          <w:cantSplit w:val="true"/>
        </w:trPr>
        <w:tc>
          <w:tcPr>
            <w:tcW w:w="2747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10</w:t>
            </w:r>
          </w:p>
        </w:tc>
      </w:tr>
      <w:tr>
        <w:trPr>
          <w:trHeight w:val="731" w:hRule="atLeast"/>
          <w:cantSplit w:val="true"/>
        </w:trPr>
        <w:tc>
          <w:tcPr>
            <w:tcW w:w="2747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1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557" w:hRule="atLeast"/>
          <w:cantSplit w:val="true"/>
        </w:trPr>
        <w:tc>
          <w:tcPr>
            <w:tcW w:w="2747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90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Przygotowanie do egzaminu</w:t>
            </w:r>
          </w:p>
        </w:tc>
        <w:tc>
          <w:tcPr>
            <w:tcW w:w="1158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365" w:hRule="atLeast"/>
        </w:trPr>
        <w:tc>
          <w:tcPr>
            <w:tcW w:w="843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Ogółem bilans czasu pracy</w:t>
            </w:r>
          </w:p>
        </w:tc>
        <w:tc>
          <w:tcPr>
            <w:tcW w:w="11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45</w:t>
            </w:r>
          </w:p>
        </w:tc>
      </w:tr>
      <w:tr>
        <w:trPr>
          <w:trHeight w:val="392" w:hRule="atLeast"/>
        </w:trPr>
        <w:tc>
          <w:tcPr>
            <w:tcW w:w="843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1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2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mbria Math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/>
    <w:lsdException w:name="footer" w:uiPriority="0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uiPriority w:val="0"/>
    <w:qFormat/>
    <w:pPr>
      <w:keepNext w:val="true"/>
      <w:widowControl w:val="fals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0"/>
    <w:semiHidden/>
    <w:qFormat/>
    <w:rPr/>
  </w:style>
  <w:style w:type="character" w:styleId="StopkaZnak" w:customStyle="1">
    <w:name w:val="Stopka Znak"/>
    <w:basedOn w:val="DefaultParagraphFont"/>
    <w:uiPriority w:val="0"/>
    <w:semiHidden/>
    <w:qFormat/>
    <w:rPr/>
  </w:style>
  <w:style w:type="character" w:styleId="SubtleEmphasis" w:customStyle="1">
    <w:name w:val="Subtle Emphasis"/>
    <w:uiPriority w:val="0"/>
    <w:qFormat/>
    <w:rPr>
      <w:i/>
      <w:iCs/>
      <w:color w:val="80808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0"/>
    <w:pPr>
      <w:spacing w:before="0" w:after="140"/>
    </w:pPr>
    <w:rPr/>
  </w:style>
  <w:style w:type="paragraph" w:styleId="List">
    <w:name w:val="List"/>
    <w:basedOn w:val="BodyText"/>
    <w:uiPriority w:val="0"/>
    <w:qFormat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0"/>
    <w:qFormat/>
    <w:pPr>
      <w:suppressLineNumbers/>
    </w:pPr>
    <w:rPr>
      <w:rFonts w:cs="Arial"/>
    </w:rPr>
  </w:style>
  <w:style w:type="paragraph" w:styleId="Caption1">
    <w:name w:val="caption1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"/>
    <w:uiPriority w:val="0"/>
    <w:qFormat/>
    <w:pPr/>
    <w:rPr/>
  </w:style>
  <w:style w:type="paragraph" w:styleId="Footer">
    <w:name w:val="Footer"/>
    <w:basedOn w:val="Normal"/>
    <w:uiPriority w:val="0"/>
    <w:semiHidden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eader">
    <w:name w:val="Header"/>
    <w:basedOn w:val="Normal"/>
    <w:next w:val="BodyText"/>
    <w:uiPriority w:val="0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dymka1" w:customStyle="1">
    <w:name w:val="Tekst dymka1"/>
    <w:basedOn w:val="Normal"/>
    <w:uiPriority w:val="0"/>
    <w:qFormat/>
    <w:pPr>
      <w:widowControl w:val="false"/>
      <w:spacing w:lineRule="auto" w:line="240" w:before="0" w:after="0"/>
    </w:pPr>
    <w:rPr>
      <w:rFonts w:ascii="Tahoma" w:hAnsi="Tahoma" w:eastAsia="Times New Roman" w:cs="Tahoma"/>
      <w:sz w:val="16"/>
      <w:szCs w:val="16"/>
      <w:lang w:eastAsia="pl-PL"/>
    </w:rPr>
  </w:style>
  <w:style w:type="paragraph" w:styleId="Zawartotabeli" w:customStyle="1">
    <w:name w:val="Zawartość tabeli"/>
    <w:basedOn w:val="Normal"/>
    <w:uiPriority w:val="0"/>
    <w:qFormat/>
    <w:pPr>
      <w:widowControl w:val="false"/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table" w:default="1" w:styleId="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<Relationship Id="rId16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zal_nr_7_karta_kursu_specjalnosciowego</Opi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D9A4CBC-A22D-4651-86A2-9BBE1FA11533}">
  <ds:schemaRefs/>
</ds:datastoreItem>
</file>

<file path=customXml/itemProps2.xml><?xml version="1.0" encoding="utf-8"?>
<ds:datastoreItem xmlns:ds="http://schemas.openxmlformats.org/officeDocument/2006/customXml" ds:itemID="{21AC9B42-675E-4A7F-91EC-66B8D42B7807}">
  <ds:schemaRefs/>
</ds:datastoreItem>
</file>

<file path=customXml/itemProps3.xml><?xml version="1.0" encoding="utf-8"?>
<ds:datastoreItem xmlns:ds="http://schemas.openxmlformats.org/officeDocument/2006/customXml" ds:itemID="{EA3F18BD-46D7-4F43-AAD7-7B403D1668DB}">
  <ds:schemaRefs/>
</ds:datastoreItem>
</file>

<file path=customXml/itemProps4.xml><?xml version="1.0" encoding="utf-8"?>
<ds:datastoreItem xmlns:ds="http://schemas.openxmlformats.org/officeDocument/2006/customXml" ds:itemID="{889C3965-A37A-4B6D-B0DE-E0325B4A2DC9}">
  <ds:schemaRefs/>
</ds:datastoreItem>
</file>

<file path=customXml/itemProps5.xml><?xml version="1.0" encoding="utf-8"?>
<ds:datastoreItem xmlns:ds="http://schemas.openxmlformats.org/officeDocument/2006/customXml" ds:itemID="{D7011BA0-46EB-4E2F-9A01-780B6D0BED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LibreOffice/7.6.1.2$Windows_X86_64 LibreOffice_project/f5defcebd022c5bc36bbb79be232cb6926d8f674</Application>
  <AppVersion>15.0000</AppVersion>
  <Pages>4</Pages>
  <Words>819</Words>
  <Characters>5357</Characters>
  <CharactersWithSpaces>6020</CharactersWithSpaces>
  <Paragraphs>161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2019-10-25T07:16:00Z</dcterms:created>
  <dc:creator>Monika</dc:creator>
  <dc:description/>
  <dc:language>pl-PL</dc:language>
  <cp:lastModifiedBy/>
  <cp:lastPrinted>2012-01-27T06:28:00Z</cp:lastPrinted>
  <dcterms:modified xsi:type="dcterms:W3CDTF">2023-10-04T20:25:54Z</dcterms:modified>
  <cp:revision>18</cp:revision>
  <dc:subject/>
  <dc:title>zal_nr_7_karta_kursu_specjalnosciowego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99C2D10D6AFA4AC380525637B8A80D28</vt:lpwstr>
  </property>
  <property fmtid="{D5CDD505-2E9C-101B-9397-08002B2CF9AE}" pid="3" name="KSOProductBuildVer">
    <vt:lpwstr>1045-11.2.0.11388</vt:lpwstr>
  </property>
</Properties>
</file>