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Heading1"/>
        <w:rPr>
          <w:sz w:val="22"/>
        </w:rPr>
      </w:pPr>
      <w:r>
        <w:rPr>
          <w:sz w:val="22"/>
        </w:rPr>
        <w:t xml:space="preserve">Załącznik nr  7 do Zarządzenia </w:t>
      </w:r>
      <w:r>
        <w:rPr>
          <w:sz w:val="22"/>
          <w:szCs w:val="22"/>
        </w:rPr>
        <w:t>Nr RD/Z.0201-2/2018</w:t>
      </w:r>
    </w:p>
    <w:p>
      <w:pPr>
        <w:pStyle w:val="Default"/>
        <w:rPr/>
      </w:pPr>
      <w:r>
        <w:rPr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/>
        <w:t xml:space="preserve"> </w:t>
      </w:r>
      <w:r>
        <w:rPr>
          <w:i/>
          <w:iCs/>
        </w:rPr>
        <w:t>Biologia, 2. stopnia, niestacjonarne, 2023/2024, sem. 3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Style w:val="SubtleEmphasis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Default"/>
        <w:rPr/>
      </w:pPr>
      <w:r>
        <w:rPr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/>
        <w:t xml:space="preserve"> </w:t>
      </w:r>
      <w:r>
        <w:rPr>
          <w:b/>
          <w:bCs/>
          <w:sz w:val="23"/>
          <w:szCs w:val="23"/>
        </w:rPr>
        <w:t>biologia laboratoryjna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…………………………</w:t>
      </w: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.…………………………………….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  <w:t>(nazwa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tbl>
            <w:tblPr>
              <w:tblW w:w="762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23"/>
            </w:tblGrid>
            <w:tr>
              <w:trPr>
                <w:trHeight w:val="112" w:hRule="atLeast"/>
              </w:trPr>
              <w:tc>
                <w:tcPr>
                  <w:tcW w:w="762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  <w:lang w:eastAsia="pl-PL"/>
                    </w:rPr>
                    <w:t>Nowoczesne techniki laboratoryjne 3 – Wybrane zagadnienia z chemii medycznej</w:t>
                  </w:r>
                </w:p>
              </w:tc>
            </w:tr>
          </w:tbl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tbl>
            <w:tblPr>
              <w:tblW w:w="750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505"/>
            </w:tblGrid>
            <w:tr>
              <w:trPr>
                <w:trHeight w:val="82" w:hRule="atLeast"/>
              </w:trPr>
              <w:tc>
                <w:tcPr>
                  <w:tcW w:w="7505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  <w:lang w:val="en-US" w:eastAsia="pl-PL"/>
                    </w:rPr>
                    <w:t xml:space="preserve">Modern laboratory techniques 3 - </w:t>
                  </w: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Selected issues of medicinal chemistry</w:t>
                  </w:r>
                </w:p>
              </w:tc>
            </w:tr>
          </w:tbl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sz w:val="20"/>
          <w:szCs w:val="20"/>
          <w:lang w:val="en-US" w:eastAsia="pl-PL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Agnieszka Kania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Agnieszka Kania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816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Część kursu: Wybrane zagadnienia z chemii medycznej.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Opis struktury i działania wybranych związków chemicznych o działaniu farmakologicznym.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Charakterystyka wybranych grup leków. Substancje naturalne biologicznie aktywne.</w:t>
            </w:r>
            <w:r>
              <w:rPr>
                <w:rFonts w:eastAsia="Times New Roman" w:cs="Arial" w:ascii="Arial" w:hAnsi="Arial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Homeostaza jonów metali i niemetale w układzie biologicznym, problemy nadmiaru i niedoboru pierwiastków w organizmie człowieka. Wybrane cząsteczki biologicznie aktywne – właściwości chemiczne i znaczenie biologiczne. Terapia fotodynamiczna.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Rozbudzenie zainteresowania i potrzeby poszerzania wiedzy o nowe informacje z zakresu rozwijających się dziedzin nauk przyrodniczych mających znaczenie w medycynie, farmacji, kosmetologii i żywieniu.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uczenia się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W01 - Charakteryzuje wybrane grupy leków: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antybiotyki, niesteroidowe leki przeciwzapalne, wybrane chemioterapeutyki.</w:t>
            </w:r>
          </w:p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 – Opisuje właściwości chemiczne i znaczenie wybranych substancji biologicznie aktywnych (tlenek azotu(II), związki polifenolowe i in.).</w:t>
            </w:r>
          </w:p>
          <w:p>
            <w:pPr>
              <w:pStyle w:val="Normal"/>
              <w:spacing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 – Wyjaśnia mechanizm homeostazy pierwiastków w organizmie człowieka, opisuje problemy niedoboru i nadmiaru pierwiastków i rodzaje stosowanych terapii (m.in. terapia chelatowa).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W01, W04, W06, W08, 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W01, W06, W08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W01, W06, W08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U01 – Otrzymuje i charakteryzuje właściwości wybranych substancji biologicznie aktywnych (PABA)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U02 - Korzysta z różnych źródeł wiedzy (podręczniki, artykuły naukowe i popularno-naukowe w języku polskim i angielskim), dokonując selekcji informacji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U03 – Zwięźle prezentuje opracowany przez siebie temat w formie prezentacji multimedialnej i odpowiedzieć na pytania i problemy związane z tematem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U04 – Ma świadomość szybkiego postępu dokonującego się w nauce i wypracowuje w sobie nawyk nieustannego poszerzania swoich wiadomości i śledzenia nowych osiągnięć w zakresie nauk przyrodniczych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U01, U02, U03, 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U01, U02, U03, 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U01, U02, U03, 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U01, U02, U03, U04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 Postępuje z powierzonym sprzętem laboratoryjnym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obowiązującymi procedurami.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 Samodzielnie planuje analizę.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 Organizuje wspólne wykonywanie zadań i pracę 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grupie.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K03, K05, K06, K07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K03, K05, K06, K07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K03, K05, K06, K07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71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laboratoryjne polegające na syntezie i charakterystyce właściwości wybranych związków biologicznie aktywnych (PABA); krótkie referaty studenckie wraz z prezentacjami multimedialnymi.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Formy sprawdzania efektów uczenia się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 – 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pisemna (sprawozdanie)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– obowiązkowa obecność, aktywność na zajęciach, wykonanie ćwiczeń laboratoryjnych oraz przygotowanie sprawozdań (zaliczenie). Przygotowanie i prezentacja krótkiego referatu na podany temat.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25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41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Charakterystyka wybranych grup leków (antybiotyki, niesteroidowe leki przeciwzapalne, wybrane chemioterapeutyki).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Substancje naturalne biologicznie aktywne.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Homeostaza jonów metali i niemetale w układzie biologicznym. Problemy nadmiaru i niedoboru pierwiastków w organizmie człowieka. Terapia chelatowa.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Wybrane cząsteczki biologicznie aktywne (np. tlenek azotu(II), związki polifenolowe) – właściwości chemiczne i znaczenie biologiczne.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714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Graham L. Patrick „Chemia medyczna. Podstawowe zagadnienia”, Wydawnictwa Naukowo-Techniczne, Warszawa 2003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Instrukcje do ćwiczeń laboratoryjnych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Wykaz literatury uzupełniającej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577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Alfred Zejc, Maria Gorczyca „Chemia leków. Podręcznik dla studentów farmacji i farmaceutów”, PZWL, Warszawa 2009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Podstawy i perspektywy chemii koordynacyjnej. Tom II Podstawy chemii koordynacyjnej, red. Zofia Stasicka, Grażyna Stochel, Wydawnictwo Uniwersytetu Jagiellońskiego, 2017, ISBN 978-83-233-4167-3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Wybrane publikacje naukowe i popularnonaukowe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</w:t>
            </w: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Pr/>
  </w:style>
  <w:style w:type="character" w:styleId="StopkaZnak" w:customStyle="1">
    <w:name w:val="Stopka Znak"/>
    <w:basedOn w:val="DefaultParagraphFont"/>
    <w:semiHidden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d3ac9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282e40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fe1dbf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zal_nr_7_karta_kursu_specjalnosciowego</Opi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D9A4CBC-A22D-4651-86A2-9BBE1FA11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C9B42-675E-4A7F-91EC-66B8D42B7807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b52c25fa-4a22-4f71-bd58-d08063dcb0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9C3965-A37A-4B6D-B0DE-E0325B4A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011BA0-46EB-4E2F-9A01-780B6D0BED4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LibreOffice/7.6.1.2$Windows_X86_64 LibreOffice_project/f5defcebd022c5bc36bbb79be232cb6926d8f674</Application>
  <AppVersion>15.0000</AppVersion>
  <Pages>6</Pages>
  <Words>727</Words>
  <Characters>4806</Characters>
  <CharactersWithSpaces>5395</CharactersWithSpaces>
  <Paragraphs>159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2023-09-19T07:47:00Z</dcterms:created>
  <dc:creator>Monika</dc:creator>
  <dc:description/>
  <dc:language>pl-PL</dc:language>
  <cp:lastModifiedBy>Agnieszka</cp:lastModifiedBy>
  <cp:lastPrinted>2012-01-27T06:28:00Z</cp:lastPrinted>
  <dcterms:modified xsi:type="dcterms:W3CDTF">2023-09-19T07:47:00Z</dcterms:modified>
  <cp:revision>2</cp:revision>
  <dc:subject/>
  <dc:title>zal_nr_7_karta_kursu_specjalnosciowego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