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 stopień, stacjonarne, 2023/2024, sem.5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Ochrona Środowiska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iCs/>
                <w:sz w:val="22"/>
                <w:szCs w:val="22"/>
                <w:lang w:val="en-US"/>
              </w:rPr>
              <w:t>Protection of  Environment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prof. UP Małgorzata Kłyś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prof. UP Małgorzata Kłyś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Anna Chrzan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Poznanie podstaw prawnych Ochrony przyrody i środowiska. Poznanie źródeł i rodzajów zanieczyszczeń atmosfery, hydrosfery i litosfery. Poznanie wpływu zanieczyszczeń atmosferycznych na organizmy i sposobów ochrony atmosfery. Kształtowanie umiejętności dokonywania pomiarów i oceny zanieczyszczenia powietrza atmosferycznego.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Poznanie wskaźników zanieczyszczenia i klas czystości wód śródlądowych. Poznanie zmian zachodzących w ekosystemach wodnych pod wpływem zanieczyszczeń. Poznanie wpływu antropopresji na degradację gleby. Poznanie wpływu skażenia żywności na zdrowie człowieka. Żywność modyfikowana genetycznie. Poznanie metodyki badań środowiska oraz zasad opisu wyników obserwacji i doświadczeń. Doskonalenie umiejętności analizy, interpretacji i opisu wyników przeprowadzanych obserwacji; współpracy w grupie.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Znajomość podstaw ochrony środowiska</w:t>
            </w:r>
          </w:p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Rozumienie zależności istniejących w środowisku przyrodniczym;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Rozumienie zależności człowieka od środowiska i wpływu człowieka na środowisko;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Wskazywanie przykładów zmian zachodzących w środowisku pod wpływem działalności człowieka;</w:t>
            </w:r>
          </w:p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Korzystanie z różnych źródeł informacji</w:t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Ekologia ogólna, Zoologia, Botanika</w:t>
            </w:r>
          </w:p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 xml:space="preserve">W01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Zna podstawy prawne Ochrony przyrody i środowiska</w:t>
            </w:r>
          </w:p>
          <w:p>
            <w:pPr>
              <w:pStyle w:val="Normal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W02</w:t>
            </w:r>
            <w:r>
              <w:rPr>
                <w:rFonts w:cs="Arial"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Charakteryzuje źródła i rodzaje zanieczyszczeń powietrza, wody, gleby i żywności oraz ich oddziaływanie na organizmy.</w:t>
            </w:r>
          </w:p>
          <w:p>
            <w:pPr>
              <w:pStyle w:val="Normal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 xml:space="preserve">W03 Wyjaśnia globalne zagrożenia środowiska; znaczenie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ozonu, gazów cieplarnianych, kwaśnych opadów, emisji pyłów i związków metali ciężkich w atmosferze.</w:t>
            </w:r>
          </w:p>
          <w:p>
            <w:pPr>
              <w:pStyle w:val="Normal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</w:r>
          </w:p>
          <w:p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W04 Zna sposoby ochrony atmosfery i dokonuje pomiarów i oceny zanieczyszczenia powietrza atmosferycznego.</w:t>
            </w:r>
          </w:p>
          <w:p>
            <w:pPr>
              <w:pStyle w:val="Normal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 xml:space="preserve">W05 Zna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klasy czystości wód i zmiany zachodzące w ekosystemach wodnych.</w:t>
            </w:r>
          </w:p>
          <w:p>
            <w:pPr>
              <w:pStyle w:val="Normal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>W06 Objaśnia technologie stosowane w ochronie środowiska, m.in: w oczyszczaniu ścieków,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color w:val="000000"/>
                <w:sz w:val="18"/>
                <w:szCs w:val="18"/>
              </w:rPr>
              <w:t>zagospodarowaniu i unieszkodliwianiu odpadów.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K_W13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K_W13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K_W13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K_W13, K_W20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K_W13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K_W23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spacing w:before="57" w:after="5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 xml:space="preserve">U01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Dostrzega zagrożenia dla współczesnej cywilizacji wynikające z nieracjonalnego korzystania z zasobów przyrody;</w:t>
            </w:r>
          </w:p>
          <w:p>
            <w:pPr>
              <w:pStyle w:val="Normal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</w:r>
          </w:p>
          <w:p>
            <w:pPr>
              <w:pStyle w:val="Zawartotabeli"/>
              <w:spacing w:before="57" w:after="5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 xml:space="preserve">U02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Dostrzega związki przyczynowo skutkowe, np. zanieczyszczenie wody i brak organizmów wskaźnikowych;</w:t>
            </w:r>
          </w:p>
          <w:p>
            <w:pPr>
              <w:pStyle w:val="Normal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</w:r>
          </w:p>
          <w:p>
            <w:pPr>
              <w:pStyle w:val="Zawartotabeli"/>
              <w:spacing w:before="57" w:after="5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>U03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Wskazuje pozytywne przykłady działania w zakresie ochrony środowiska;</w:t>
            </w:r>
          </w:p>
          <w:p>
            <w:pPr>
              <w:pStyle w:val="Normal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U04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Dokonuje analizy danych dotyczących aktualnego stanu zasobów przyrody we własnym regionie, w kraju i świecie korzystając z różnych  źródeł wiedzy</w:t>
            </w:r>
          </w:p>
          <w:p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K_U01, K_U02, K_U04,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K_U08, K_U09, K_U11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K_U03, K_U04, K_U05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>K01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Sprawnie organizuje wspólne wykonywanie doświadczeń i pracę w grupie</w:t>
            </w:r>
          </w:p>
          <w:p>
            <w:pPr>
              <w:pStyle w:val="Normal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>K02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Postępuje zgodnie z obowiązującymi procedurami z powierzonym sprzętem laboratoryjnym</w:t>
            </w:r>
          </w:p>
          <w:p>
            <w:pPr>
              <w:pStyle w:val="Normal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</w:r>
          </w:p>
          <w:p>
            <w:pPr>
              <w:pStyle w:val="Zawartotabeli"/>
              <w:spacing w:before="57" w:after="5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>K03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color w:val="000000"/>
                <w:sz w:val="18"/>
                <w:szCs w:val="18"/>
              </w:rPr>
              <w:t>Kształtuje świadomość prośrodowiskową</w:t>
            </w:r>
          </w:p>
          <w:p>
            <w:pPr>
              <w:pStyle w:val="Zawartotabeli"/>
              <w:spacing w:before="57" w:after="5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</w:r>
          </w:p>
          <w:p>
            <w:pPr>
              <w:pStyle w:val="Zawartotabeli"/>
              <w:spacing w:before="57" w:after="5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K04 Potrafi ocenić, zinterpretować informacje z zakresu ochrony środowiska rozprzestrzeniane w mediach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K_K05,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K_K03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K_K07, K_K08</w:t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K_K04, K_K01</w:t>
            </w:r>
            <w:bookmarkStart w:id="0" w:name="_GoBack"/>
            <w:bookmarkEnd w:id="0"/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 tym 15 teren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384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u w:val="single"/>
              </w:rPr>
              <w:t>Wykłady</w:t>
            </w:r>
            <w:r>
              <w:rPr/>
              <w:t xml:space="preserve"> w formie prezentacji multimedialnej</w:t>
            </w:r>
          </w:p>
          <w:p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Zawartotabeli"/>
              <w:rPr/>
            </w:pPr>
            <w:r>
              <w:rPr>
                <w:u w:val="single"/>
              </w:rPr>
              <w:t>Ćwiczenia</w:t>
            </w:r>
            <w:r>
              <w:rPr/>
              <w:t xml:space="preserve"> – doświadczenia laboratoryjne, dyskusja, referat, prezentacje multimedialne na wybrane tematy, zajęcia terenowe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Kolokwium zaliczeniowe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991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– zaliczenie na podstawie kolokwiów wprowadzających do tematyki ćwiczeń i sprawozdań z doświadczeń laboratoryjnych, oraz zajęć terenowych</w:t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Wykłady – egzamin pisemny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Sprawdzanie obecności na wykładach i ćwiczeniach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before="57" w:after="57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Ekologia a ochrona przyrody i ochrona środowiska – podstawowe definicje i zależności między tymi dyscyplinami. Wybrane międzynarodowe konwencje w ochronie środowiska. Aspekty prawne ochrony środowiska w Polsce.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57" w:after="57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Atmosfera – źródła i rodzaje zanieczyszczeń. Ozon w troposferze i atmosferze, gazy cieplarniane, kwaśne deszcze, emisje pyłów i związki metali ciężkich. Wpływ zanieczyszczeń atmosferycznych na organizmy. Sposoby ochrony atmosfery.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57" w:after="57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Hydrosfera. Źródła i rodzaje zanieczyszczeń wód. Wskaźniki zanieczyszczeń wody. Klasy czystości wód. Zmiany w ekosystemach wodnych.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57" w:after="57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Oczyszczanie ścieków. Sposoby uzdatniania wody.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57" w:after="57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Litosfera. Gleba, jej właściwości i rodzaje. Wpływ antropopresji na degradację gleby. Sposoby rekultywacji gleb.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57" w:after="57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Skażenie żywności a zdrowie człowieka.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Pomiary i ocena zanieczyszczenia powietrza atmosferycznego.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Odpady komunalne i przemysłowe.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zawartości azotanów, azotynów, fosforanów, aluminium i ołowiu w żywności pochodzenia roślinnego i zwierzęcego.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Analiza dodatków dodawanych do żywności.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Żywność modyfikowana genetycznie – korzyści czy zagrożenia?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parametrów fizyko- chemicznych wody z różnych źródeł.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Organizmy wskaźnikowe jakości wód.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ascii="Verdana" w:hAnsi="Verdana"/>
                <w:sz w:val="20"/>
                <w:szCs w:val="20"/>
              </w:rPr>
              <w:t>Wpływ zanieczyszczeń gleby na wzrost i rozwój roślin testowych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 w:before="0" w:after="2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Zajęcia terenowe - zapoznanie z gospodarką odpadami komunalnymi (Centrum Ekologiczne  Barycz,  Ekospalarnia) i ochroną powietrza w Krakowie (Stacja monitoringowa i Krajowe Laboratorium Referencyjne ds. jakości powietrza)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lineRule="auto" w:line="360" w:beforeAutospacing="1" w:after="0"/>
              <w:contextualSpacing/>
              <w:jc w:val="both"/>
              <w:rPr>
                <w:rFonts w:ascii="Verdana" w:hAnsi="Verdana" w:cs="Arial"/>
                <w:color w:themeColor="text1" w:val="000000"/>
                <w:sz w:val="20"/>
                <w:szCs w:val="20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>F. Maciaszek - Ochrona i rekultywacja środowiska. Wydawnictwo SGGW 2003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lineRule="auto" w:line="360" w:before="0" w:after="0"/>
              <w:contextualSpacing/>
              <w:jc w:val="both"/>
              <w:rPr>
                <w:rFonts w:ascii="Verdana" w:hAnsi="Verdana" w:cs="Arial"/>
                <w:color w:themeColor="text1" w:val="000000"/>
                <w:sz w:val="20"/>
                <w:szCs w:val="20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 xml:space="preserve">Cz. </w:t>
            </w:r>
            <w:r>
              <w:rPr>
                <w:rFonts w:cs="Arial" w:ascii="Verdana" w:hAnsi="Verdana"/>
                <w:color w:themeColor="text1" w:val="000000"/>
                <w:sz w:val="20"/>
                <w:szCs w:val="20"/>
              </w:rPr>
              <w:t>Jasiewicz, M. Niemiec, A. Baran - Ochrona środowiska. Przewodnik do ćwiczeń. Wydawnictwo UR, Kraków 2010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ascii="Verdana" w:hAnsi="Verdana"/>
                <w:color w:themeColor="text1" w:val="000000"/>
                <w:sz w:val="20"/>
                <w:szCs w:val="20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>Z. M. Karczun, L. G. Indeka – Ochrona środowiska. Agencja Wyd. Aries 1999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ascii="Verdana" w:hAnsi="Verdana"/>
                <w:color w:themeColor="text1" w:val="000000"/>
                <w:sz w:val="20"/>
                <w:szCs w:val="20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>Prawo i ochrona środowiska – Szymańska U. i Zębek E. Wyd. Uniwersytetu Warmińsko- Mazurskiego Olsztyn 2008.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ascii="Verdana" w:hAnsi="Verdana"/>
                <w:color w:themeColor="text1" w:val="000000"/>
                <w:sz w:val="20"/>
                <w:szCs w:val="20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>Red. Olaczek i Warcholińska – Ochrona środowiska i żywych zasobów przyrody, Wyd. Uniwersytetu Łódzkiego, Łódź 1999.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ascii="Verdana" w:hAnsi="Verdana"/>
                <w:color w:themeColor="text1" w:val="000000"/>
                <w:sz w:val="20"/>
                <w:szCs w:val="20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>M. Hafner - Ochrona środowiska. Księga ekotestów. PKE 1993.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ascii="Verdana" w:hAnsi="Verdana"/>
                <w:color w:themeColor="text1" w:val="000000"/>
                <w:sz w:val="20"/>
                <w:szCs w:val="20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>E. Grochowicz, J. Korytkowski – Ochrona powietrza. WSiP, Warszawa 1996.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ascii="Verdana" w:hAnsi="Verdana"/>
                <w:color w:themeColor="text1" w:val="000000"/>
                <w:sz w:val="20"/>
                <w:szCs w:val="20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>E. Grochowicz, J. Korytkowski – Ochrona przyrody i wód. WSiP 1996.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color w:themeColor="text1" w:val="000000"/>
                <w:szCs w:val="16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>E. Grochowicz, J. Korytkowski Ochrona gleb. WSiP 1997.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Standard"/>
              <w:spacing w:beforeAutospacing="1" w:afterAutospacing="1"/>
              <w:ind w:left="360"/>
              <w:jc w:val="both"/>
              <w:rPr>
                <w:rFonts w:ascii="Verdana" w:hAnsi="Verdana" w:cs="Times New Roman"/>
                <w:color w:themeColor="text1" w:val="000000"/>
                <w:sz w:val="20"/>
                <w:szCs w:val="20"/>
              </w:rPr>
            </w:pPr>
            <w:r>
              <w:rPr>
                <w:rFonts w:cs="Times New Roman" w:ascii="Verdana" w:hAnsi="Verdana"/>
                <w:color w:themeColor="text1" w:val="000000"/>
                <w:sz w:val="20"/>
                <w:szCs w:val="20"/>
              </w:rPr>
              <w:t>Rosik-Dulewska C., 2007: Podstawy gospodarki odpadami, PWN.</w:t>
            </w:r>
          </w:p>
          <w:p>
            <w:pPr>
              <w:pStyle w:val="Standard"/>
              <w:spacing w:beforeAutospacing="1" w:afterAutospacing="1"/>
              <w:ind w:left="360"/>
              <w:jc w:val="both"/>
              <w:rPr>
                <w:rFonts w:ascii="Verdana" w:hAnsi="Verdana" w:cs="Times New Roman"/>
                <w:color w:themeColor="text1" w:val="000000"/>
                <w:sz w:val="20"/>
                <w:szCs w:val="20"/>
              </w:rPr>
            </w:pPr>
            <w:r>
              <w:rPr>
                <w:rFonts w:cs="Times New Roman" w:ascii="Verdana" w:hAnsi="Verdana"/>
                <w:color w:themeColor="text1" w:val="000000"/>
                <w:sz w:val="20"/>
                <w:szCs w:val="20"/>
              </w:rPr>
              <w:t>G. Dobrzański, B. Dobrzańska, D. Kiełczewski – Ochrona środowiska przyrodniczego. Wydawnictwo Ekonomia i Środowisko, Białystok 1997.</w:t>
            </w:r>
          </w:p>
          <w:p>
            <w:pPr>
              <w:pStyle w:val="Standard"/>
              <w:spacing w:beforeAutospacing="1" w:afterAutospacing="1"/>
              <w:ind w:left="360"/>
              <w:jc w:val="both"/>
              <w:rPr>
                <w:rFonts w:ascii="Verdana" w:hAnsi="Verdana" w:cs="Times New Roman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color w:themeColor="text1" w:val="000000"/>
                <w:sz w:val="20"/>
                <w:szCs w:val="20"/>
              </w:rPr>
              <w:t xml:space="preserve">Dubiel, Jaskóła- Wybrane metody badań środowiska przyrodniczego. cz. I i II. Przewodnik do ćwiczeń z zakresu ochrony i kształtowania środowiska. </w:t>
            </w:r>
            <w:r>
              <w:rPr>
                <w:rFonts w:cs="Times New Roman" w:ascii="Verdana" w:hAnsi="Verdana"/>
                <w:color w:themeColor="text1" w:val="000000"/>
                <w:sz w:val="20"/>
                <w:szCs w:val="20"/>
                <w:lang w:val="en-US"/>
              </w:rPr>
              <w:t>Opole 1991</w:t>
            </w:r>
          </w:p>
          <w:p>
            <w:pPr>
              <w:pStyle w:val="Standard"/>
              <w:spacing w:beforeAutospacing="1" w:afterAutospacing="1"/>
              <w:ind w:left="360"/>
              <w:jc w:val="both"/>
              <w:rPr>
                <w:rFonts w:ascii="Verdana" w:hAnsi="Verdana" w:eastAsia="Times New Roman" w:cs="Times New Roman"/>
                <w:color w:themeColor="text1"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 w:ascii="Verdana" w:hAnsi="Verdana"/>
                <w:b/>
                <w:color w:themeColor="text1" w:val="000000"/>
                <w:sz w:val="20"/>
                <w:szCs w:val="20"/>
                <w:shd w:fill="FFFFFF" w:val="clear"/>
                <w:lang w:val="en-GB" w:eastAsia="pl-PL"/>
              </w:rPr>
              <w:t>Chrzan A.</w:t>
            </w:r>
            <w:r>
              <w:rPr>
                <w:rFonts w:eastAsia="Times New Roman" w:cs="Times New Roman" w:ascii="Verdana" w:hAnsi="Verdana"/>
                <w:color w:themeColor="text1" w:val="000000"/>
                <w:sz w:val="20"/>
                <w:szCs w:val="20"/>
                <w:lang w:val="en-US" w:eastAsia="pl-PL"/>
              </w:rPr>
              <w:t xml:space="preserve"> 2016. Monitoring bioconcentration of potentially toxic trace elements in soils trophic chains. Environmental Earth Sciences.  75:786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ind w:firstLine="356"/>
              <w:textAlignment w:val="baseline"/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themeColor="text1" w:val="000000"/>
                <w:sz w:val="20"/>
                <w:szCs w:val="20"/>
                <w:lang w:val="en-US"/>
              </w:rPr>
              <w:t>Chrzan A.</w:t>
            </w: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 xml:space="preserve"> 2015. Necrotic bark of common pine (</w:t>
            </w:r>
            <w:r>
              <w:rPr>
                <w:rFonts w:ascii="Verdana" w:hAnsi="Verdana"/>
                <w:i/>
                <w:iCs/>
                <w:color w:themeColor="text1" w:val="000000"/>
                <w:sz w:val="20"/>
                <w:szCs w:val="20"/>
                <w:lang w:val="en-US"/>
              </w:rPr>
              <w:t>Pinus sylvestris</w:t>
            </w: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> L.) as a bioindicator of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ind w:firstLine="356"/>
              <w:textAlignment w:val="baseline"/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>environmental quality . Environ Sci Pollut Res 22:1066–1071.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ind w:firstLine="356"/>
              <w:textAlignment w:val="baseline"/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ind w:firstLine="356"/>
              <w:textAlignment w:val="baseline"/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themeColor="text1" w:val="000000"/>
                <w:sz w:val="20"/>
                <w:szCs w:val="20"/>
                <w:lang w:val="en-US"/>
              </w:rPr>
              <w:t>Chrzan A.</w:t>
            </w: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 xml:space="preserve"> 2015. Bioaccumulation of lead, cadmium, nickel, copper and zinc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ind w:firstLine="356"/>
              <w:textAlignment w:val="baseline"/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>in pedofauna. Fresen nviron Bull. Vol. 24; No. 4 (2015)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ind w:firstLine="356"/>
              <w:textAlignment w:val="baseline"/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</w:r>
          </w:p>
          <w:p>
            <w:pPr>
              <w:pStyle w:val="Default"/>
              <w:ind w:left="356"/>
              <w:rPr>
                <w:rFonts w:cs="Times New Roman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themeColor="text1" w:val="000000"/>
                <w:sz w:val="20"/>
                <w:szCs w:val="20"/>
              </w:rPr>
              <w:t xml:space="preserve">Izdebska A., Malejky-Kłusek N., </w:t>
            </w:r>
            <w:r>
              <w:rPr>
                <w:rFonts w:cs="Times New Roman"/>
                <w:b/>
                <w:color w:themeColor="text1" w:val="000000"/>
                <w:sz w:val="20"/>
                <w:szCs w:val="20"/>
              </w:rPr>
              <w:t>Kłyś M.</w:t>
            </w:r>
            <w:r>
              <w:rPr>
                <w:rFonts w:cs="Times New Roman"/>
                <w:color w:themeColor="text1" w:val="000000"/>
                <w:sz w:val="20"/>
                <w:szCs w:val="20"/>
              </w:rPr>
              <w:t xml:space="preserve"> 2022. </w:t>
            </w:r>
            <w:r>
              <w:rPr>
                <w:rFonts w:cs="Times New Roman"/>
                <w:color w:themeColor="text1" w:val="000000"/>
                <w:sz w:val="20"/>
                <w:szCs w:val="20"/>
                <w:lang w:val="en-US"/>
              </w:rPr>
              <w:t>Composting as a “golden method” to solve the organic household waste problem? – short revision. Annales Universitatis Paedagogicae Cracoviensis Studia Naturae, 7. XX-XX</w:t>
            </w:r>
          </w:p>
          <w:p>
            <w:pPr>
              <w:pStyle w:val="Default"/>
              <w:ind w:left="356"/>
              <w:rPr>
                <w:rFonts w:cs="Times New Roman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themeColor="text1" w:val="00000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/>
              <w:suppressAutoHyphens w:val="false"/>
              <w:spacing w:before="0" w:after="200"/>
              <w:ind w:left="356"/>
              <w:jc w:val="both"/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 xml:space="preserve">Malejky N., </w:t>
            </w:r>
            <w:r>
              <w:rPr>
                <w:rFonts w:ascii="Verdana" w:hAnsi="Verdana"/>
                <w:b/>
                <w:color w:themeColor="text1" w:val="000000"/>
                <w:sz w:val="20"/>
                <w:szCs w:val="20"/>
                <w:lang w:val="en-US"/>
              </w:rPr>
              <w:t>Kłyś M.,</w:t>
            </w: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 xml:space="preserve"> Albrycht M. 2017. Crop pest arthropods occurring in Poland`s Silesia Voivodeship. </w:t>
            </w:r>
            <w:r>
              <w:rPr>
                <w:rFonts w:ascii="Verdana" w:hAnsi="Verdana"/>
                <w:bCs/>
                <w:color w:themeColor="text1" w:val="000000"/>
                <w:sz w:val="20"/>
                <w:szCs w:val="20"/>
                <w:lang w:val="en-GB"/>
              </w:rPr>
              <w:t xml:space="preserve">In: Arthropods in urban and suburban environments. </w:t>
            </w: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>Ed. Buczek and Błaszak, Lublin: Koliber 207-216.</w:t>
            </w:r>
          </w:p>
          <w:p>
            <w:pPr>
              <w:pStyle w:val="Normal"/>
              <w:widowControl/>
              <w:suppressAutoHyphens w:val="false"/>
              <w:spacing w:before="0" w:after="200"/>
              <w:ind w:left="3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 xml:space="preserve">Malejky N., </w:t>
            </w:r>
            <w:r>
              <w:rPr>
                <w:rFonts w:ascii="Verdana" w:hAnsi="Verdana"/>
                <w:b/>
                <w:color w:themeColor="text1" w:val="000000"/>
                <w:sz w:val="20"/>
                <w:szCs w:val="20"/>
              </w:rPr>
              <w:t>Kłyś M.,</w:t>
            </w: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 xml:space="preserve"> Orłowska L. 2017. </w:t>
            </w:r>
            <w:r>
              <w:rPr>
                <w:rFonts w:ascii="Verdana" w:hAnsi="Verdana"/>
                <w:color w:themeColor="text1" w:val="000000"/>
                <w:sz w:val="20"/>
                <w:szCs w:val="20"/>
                <w:lang w:val="en-US"/>
              </w:rPr>
              <w:t xml:space="preserve">Crop pest arthropods control. </w:t>
            </w:r>
            <w:r>
              <w:rPr>
                <w:rFonts w:ascii="Verdana" w:hAnsi="Verdana"/>
                <w:bCs/>
                <w:color w:themeColor="text1" w:val="000000"/>
                <w:sz w:val="20"/>
                <w:szCs w:val="20"/>
                <w:lang w:val="en-GB"/>
              </w:rPr>
              <w:t xml:space="preserve">In: Arthropods in urban and suburban environments. </w:t>
            </w:r>
            <w:r>
              <w:rPr>
                <w:rFonts w:ascii="Verdana" w:hAnsi="Verdana"/>
                <w:color w:themeColor="text1" w:val="000000"/>
                <w:sz w:val="20"/>
                <w:szCs w:val="20"/>
              </w:rPr>
              <w:t>Ed. Buczek and Błaszak, Lublin: Koliber 197-205.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</w:t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711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Heading1">
    <w:name w:val="Heading 1"/>
    <w:basedOn w:val="Normal"/>
    <w:next w:val="Normal"/>
    <w:link w:val="Nagwek1Znak"/>
    <w:qFormat/>
    <w:rsid w:val="00b9711b"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9711b"/>
    <w:rPr>
      <w:rFonts w:ascii="Verdana" w:hAnsi="Verdana" w:eastAsia="Times New Roman" w:cs="Times New Roman"/>
      <w:sz w:val="28"/>
      <w:szCs w:val="28"/>
      <w:lang w:eastAsia="pl-PL"/>
    </w:rPr>
  </w:style>
  <w:style w:type="character" w:styleId="NagwekZnak" w:customStyle="1">
    <w:name w:val="Nagłówek Znak"/>
    <w:basedOn w:val="DefaultParagraphFont"/>
    <w:semiHidden/>
    <w:qFormat/>
    <w:rsid w:val="00b9711b"/>
    <w:rPr>
      <w:rFonts w:ascii="Arial" w:hAnsi="Arial" w:eastAsia="Times New Roman" w:cs="Arial"/>
      <w:sz w:val="28"/>
      <w:szCs w:val="28"/>
      <w:lang w:eastAsia="pl-PL"/>
    </w:rPr>
  </w:style>
  <w:style w:type="character" w:styleId="StopkaZnak" w:customStyle="1">
    <w:name w:val="Stopka Znak"/>
    <w:basedOn w:val="DefaultParagraphFont"/>
    <w:semiHidden/>
    <w:qFormat/>
    <w:rsid w:val="00b9711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ps" w:customStyle="1">
    <w:name w:val="hps"/>
    <w:qFormat/>
    <w:rsid w:val="00b9711b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b9711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f6e12"/>
    <w:rPr>
      <w:color w:themeColor="hyperlink" w:val="0000FF"/>
      <w:u w:val="single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0f6e1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dd0fc5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b9711b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semiHidden/>
    <w:rsid w:val="00b9711b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StopkaZnak"/>
    <w:semiHidden/>
    <w:rsid w:val="00b97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b9711b"/>
    <w:pPr>
      <w:suppressLineNumbers/>
    </w:pPr>
    <w:rPr/>
  </w:style>
  <w:style w:type="paragraph" w:styleId="Tekstdymka1" w:customStyle="1">
    <w:name w:val="Tekst dymka1"/>
    <w:basedOn w:val="Normal"/>
    <w:qFormat/>
    <w:rsid w:val="00b9711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9711b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eastAsia="pl-PL" w:val="pl-PL" w:bidi="ar-SA"/>
    </w:rPr>
  </w:style>
  <w:style w:type="paragraph" w:styleId="Standard" w:customStyle="1">
    <w:name w:val="Standard"/>
    <w:qFormat/>
    <w:rsid w:val="000a442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b114a5"/>
    <w:pPr>
      <w:spacing w:before="0" w:after="0"/>
      <w:ind w:left="720"/>
      <w:contextualSpacing/>
    </w:pPr>
    <w:rPr/>
  </w:style>
  <w:style w:type="paragraph" w:styleId="NormalWeb">
    <w:name w:val="Normal (Web)"/>
    <w:basedOn w:val="Normal"/>
    <w:semiHidden/>
    <w:qFormat/>
    <w:rsid w:val="00b114a5"/>
    <w:pPr>
      <w:widowControl/>
      <w:suppressAutoHyphens w:val="false"/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0f6e12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LibreOffice/7.6.1.2$Windows_X86_64 LibreOffice_project/f5defcebd022c5bc36bbb79be232cb6926d8f674</Application>
  <AppVersion>15.0000</AppVersion>
  <Pages>6</Pages>
  <Words>1147</Words>
  <Characters>7380</Characters>
  <CharactersWithSpaces>8320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2023-09-19T10:14:00Z</dcterms:created>
  <dc:creator>user</dc:creator>
  <dc:description/>
  <dc:language>pl-PL</dc:language>
  <cp:lastModifiedBy>Małgorzata Kłyś</cp:lastModifiedBy>
  <dcterms:modified xsi:type="dcterms:W3CDTF">2023-09-19T18:10:00Z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