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autoSpaceDE w:val="true"/>
        <w:jc w:val="right"/>
        <w:rPr>
          <w:rFonts w:ascii="Arial" w:hAnsi="Arial" w:cs="Arial"/>
          <w:i/>
          <w:i/>
          <w:sz w:val="22"/>
        </w:rPr>
      </w:pPr>
      <w:r>
        <w:rPr>
          <w:rFonts w:eastAsia="Arial" w:cs="Arial" w:ascii="Arial" w:hAnsi="Arial"/>
          <w:i/>
          <w:sz w:val="22"/>
        </w:rPr>
        <w:t xml:space="preserve"> </w:t>
      </w:r>
      <w:r>
        <w:rPr>
          <w:rFonts w:cs="Arial" w:ascii="Arial" w:hAnsi="Arial"/>
          <w:i/>
          <w:sz w:val="22"/>
        </w:rPr>
        <w:t>Biologia, 1. stopnia, stacjonarne, 2023/2024, sem.5</w:t>
      </w:r>
    </w:p>
    <w:p>
      <w:pPr>
        <w:pStyle w:val="Normal"/>
        <w:autoSpaceDE w:val="true"/>
        <w:jc w:val="right"/>
        <w:rPr>
          <w:rFonts w:ascii="Arial" w:hAnsi="Arial" w:cs="Arial"/>
          <w:i/>
          <w:i/>
          <w:sz w:val="22"/>
        </w:rPr>
      </w:pPr>
      <w:r>
        <w:rPr>
          <w:rFonts w:cs="Arial" w:ascii="Arial" w:hAnsi="Arial"/>
          <w:i/>
          <w:sz w:val="22"/>
        </w:rPr>
      </w:r>
    </w:p>
    <w:p>
      <w:pPr>
        <w:pStyle w:val="Normal"/>
        <w:autoSpaceDE w:val="true"/>
        <w:jc w:val="right"/>
        <w:rPr>
          <w:rFonts w:ascii="Arial" w:hAnsi="Arial" w:cs="Arial"/>
          <w:b/>
          <w:bCs/>
          <w:i/>
          <w:i/>
          <w:sz w:val="22"/>
        </w:rPr>
      </w:pPr>
      <w:r>
        <w:rPr>
          <w:rFonts w:cs="Arial" w:ascii="Arial" w:hAnsi="Arial"/>
          <w:b/>
          <w:bCs/>
          <w:i/>
          <w:sz w:val="22"/>
        </w:rPr>
      </w:r>
    </w:p>
    <w:p>
      <w:pPr>
        <w:pStyle w:val="Heading1"/>
        <w:ind w:hanging="0" w:left="0"/>
        <w:rPr>
          <w:rFonts w:ascii="Arial" w:hAnsi="Arial" w:cs="Arial"/>
          <w:sz w:val="22"/>
        </w:rPr>
      </w:pPr>
      <w:r>
        <w:rPr>
          <w:rFonts w:cs="Arial" w:ascii="Arial" w:hAnsi="Arial"/>
          <w:b/>
          <w:bCs/>
          <w:sz w:val="24"/>
        </w:rPr>
        <w:t>KARTA KURSU</w:t>
      </w:r>
    </w:p>
    <w:p>
      <w:pPr>
        <w:pStyle w:val="Normal"/>
        <w:autoSpaceDE w:val="true"/>
        <w:jc w:val="center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</w:r>
    </w:p>
    <w:p>
      <w:pPr>
        <w:pStyle w:val="Normal"/>
        <w:autoSpaceDE w:val="true"/>
        <w:jc w:val="center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</w:r>
    </w:p>
    <w:p>
      <w:pPr>
        <w:pStyle w:val="Normal"/>
        <w:autoSpaceDE w:val="true"/>
        <w:jc w:val="center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</w:r>
    </w:p>
    <w:tbl>
      <w:tblPr>
        <w:tblW w:w="9640" w:type="dxa"/>
        <w:jc w:val="lef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985"/>
        <w:gridCol w:w="7655"/>
      </w:tblGrid>
      <w:tr>
        <w:trPr>
          <w:trHeight w:val="395" w:hRule="atLeast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  <w:vAlign w:val="center"/>
          </w:tcPr>
          <w:p>
            <w:pPr>
              <w:pStyle w:val="Normal"/>
              <w:autoSpaceDE w:val="tru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Parazytologia</w:t>
            </w:r>
          </w:p>
        </w:tc>
      </w:tr>
      <w:tr>
        <w:trPr>
          <w:trHeight w:val="379" w:hRule="atLeast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  <w:vAlign w:val="center"/>
          </w:tcPr>
          <w:p>
            <w:pPr>
              <w:pStyle w:val="Normal"/>
              <w:autoSpaceDE w:val="tru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Parasitology</w:t>
            </w:r>
          </w:p>
        </w:tc>
      </w:tr>
    </w:tbl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9640" w:type="dxa"/>
        <w:jc w:val="left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189"/>
        <w:gridCol w:w="3190"/>
        <w:gridCol w:w="3261"/>
      </w:tblGrid>
      <w:tr>
        <w:trPr>
          <w:cantSplit w:val="true"/>
        </w:trPr>
        <w:tc>
          <w:tcPr>
            <w:tcW w:w="3189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Dr hab. Magdalena Nowak-Chmura, prof. UP</w:t>
            </w:r>
          </w:p>
        </w:tc>
        <w:tc>
          <w:tcPr>
            <w:tcW w:w="326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Zespół dydaktyczny</w:t>
            </w:r>
          </w:p>
        </w:tc>
      </w:tr>
      <w:tr>
        <w:trPr>
          <w:trHeight w:val="344" w:hRule="atLeast"/>
          <w:cantSplit w:val="true"/>
        </w:trPr>
        <w:tc>
          <w:tcPr>
            <w:tcW w:w="3189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190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261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Dr hab. Magdalena Nowak-Chmura, prof. UP</w:t>
            </w:r>
          </w:p>
        </w:tc>
      </w:tr>
      <w:tr>
        <w:trPr>
          <w:trHeight w:val="57" w:hRule="atLeast"/>
          <w:cantSplit w:val="true"/>
        </w:trPr>
        <w:tc>
          <w:tcPr>
            <w:tcW w:w="3189" w:type="dxa"/>
            <w:tcBorders>
              <w:top w:val="single" w:sz="2" w:space="0" w:color="95B3D7"/>
              <w:bottom w:val="single" w:sz="2" w:space="0" w:color="95B3D7"/>
            </w:tcBorders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190" w:type="dxa"/>
            <w:tcBorders>
              <w:top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261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18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  <w:vAlign w:val="center"/>
          </w:tcPr>
          <w:p>
            <w:pPr>
              <w:pStyle w:val="Zawartotabeli"/>
              <w:spacing w:before="57" w:after="57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</w:t>
            </w:r>
          </w:p>
        </w:tc>
        <w:tc>
          <w:tcPr>
            <w:tcW w:w="3261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  <w:t>Opis kursu (cele kształcenia)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640"/>
      </w:tblGrid>
      <w:tr>
        <w:trPr>
          <w:trHeight w:val="1365" w:hRule="atLeast"/>
        </w:trPr>
        <w:tc>
          <w:tcPr>
            <w:tcW w:w="9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22"/>
              </w:rPr>
              <w:t>Poznanie pasożytnictwa na tle innych powiązań międzygatunkowych organizmów żywych, oraz klasyfikacji pasożytnictwa i układu pasożyt - żywiciel. Przegląd systematyczny pasożytów ze zwróceniem uwagi na pasożyty atakujące ludzi w Polsce, poznanie rodzajów szkodliwości pasożytniczej. Charakterystyka znaczenia medycznego pasożytów i umiejętny wybór metod zapobiegania inwazjom pasożytniczym. Doskonalenie umiejętności posługiwania się sprzętem optycznym, obserwacji, współpracy w zespole. Kurs jest prowadzony w języku polskim.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  <w:t>Warunki wstępne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41"/>
        <w:gridCol w:w="7699"/>
      </w:tblGrid>
      <w:tr>
        <w:trPr>
          <w:trHeight w:val="550" w:hRule="atLeast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  <w:vAlign w:val="center"/>
          </w:tcPr>
          <w:p>
            <w:pPr>
              <w:pStyle w:val="Normal"/>
              <w:autoSpaceDE w:val="tru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autoSpaceDE w:val="true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22"/>
              </w:rPr>
              <w:t>Wiedza z zoologii ogólnej według programu nauczania w szkole średniej. Znajomość podstawowego nazewnictwa zoologicznego.</w:t>
            </w:r>
          </w:p>
        </w:tc>
      </w:tr>
      <w:tr>
        <w:trPr>
          <w:trHeight w:val="577" w:hRule="atLeast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  <w:vAlign w:val="center"/>
          </w:tcPr>
          <w:p>
            <w:pPr>
              <w:pStyle w:val="Normal"/>
              <w:autoSpaceDE w:val="tru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autoSpaceDE w:val="true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22"/>
              </w:rPr>
              <w:t>Umiejętność korzystania z literatury naukowej, zdolność umiejętnego posługiwania się mikroskopem do celów badawczych z biologii.</w:t>
            </w:r>
          </w:p>
        </w:tc>
      </w:tr>
      <w:tr>
        <w:trPr/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  <w:vAlign w:val="center"/>
          </w:tcPr>
          <w:p>
            <w:pPr>
              <w:pStyle w:val="Normal"/>
              <w:autoSpaceDE w:val="tru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autoSpaceDE w:val="true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  <w:t>Brak</w:t>
            </w:r>
          </w:p>
          <w:p>
            <w:pPr>
              <w:pStyle w:val="Normal"/>
              <w:autoSpaceDE w:val="true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</w:r>
    </w:p>
    <w:p>
      <w:pPr>
        <w:pStyle w:val="Normal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</w:r>
    </w:p>
    <w:p>
      <w:pPr>
        <w:pStyle w:val="Normal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/>
      </w:pPr>
      <w:r>
        <w:rPr>
          <w:rFonts w:cs="Arial" w:ascii="Arial" w:hAnsi="Arial"/>
          <w:sz w:val="22"/>
          <w:szCs w:val="16"/>
        </w:rPr>
        <w:t xml:space="preserve">Efekty uczenia się 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979"/>
        <w:gridCol w:w="5296"/>
        <w:gridCol w:w="2365"/>
      </w:tblGrid>
      <w:tr>
        <w:trPr>
          <w:trHeight w:val="930" w:hRule="atLeast"/>
          <w:cantSplit w:val="true"/>
        </w:trPr>
        <w:tc>
          <w:tcPr>
            <w:tcW w:w="1979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Efekt uczenia się dla kursu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Odniesienie do efektów kierunkowych</w:t>
            </w:r>
          </w:p>
        </w:tc>
      </w:tr>
      <w:tr>
        <w:trPr>
          <w:trHeight w:val="1838" w:hRule="atLeast"/>
          <w:cantSplit w:val="true"/>
        </w:trPr>
        <w:tc>
          <w:tcPr>
            <w:tcW w:w="1979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/>
              <w:suppressAutoHyphens w:val="false"/>
              <w:autoSpaceDE w:val="true"/>
              <w:spacing w:lineRule="auto" w:line="276" w:before="0" w:after="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W01 Definiuje i rozpoznaje pasożytnictwo na tle innych powiązań międzygatunkowych organizmów żywych.</w:t>
            </w:r>
          </w:p>
          <w:p>
            <w:pPr>
              <w:pStyle w:val="Normal"/>
              <w:widowControl/>
              <w:suppressAutoHyphens w:val="false"/>
              <w:autoSpaceDE w:val="true"/>
              <w:spacing w:lineRule="auto" w:line="276" w:before="0" w:after="200"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W02 Prawidłowo wskazuje i objaśnia cechy przystosowujące organizmy bezkręgowe do pasożytniczego trybu życia w różnych środowiskach. </w:t>
            </w:r>
          </w:p>
          <w:p>
            <w:pPr>
              <w:pStyle w:val="Normal"/>
              <w:widowControl/>
              <w:suppressAutoHyphens w:val="false"/>
              <w:autoSpaceDE w:val="true"/>
              <w:spacing w:lineRule="auto" w:line="276" w:before="0" w:after="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W03 Wymienia i charakteryzuje podstawowe choroby wywoływane przez pasożytnicze pierwotniaki, robaki i stawonogi  w Polsce i na świecie.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K_W07, K_W08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K_W07, K_W08, K_W016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K_W07, K_W23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985"/>
        <w:gridCol w:w="5245"/>
        <w:gridCol w:w="2410"/>
      </w:tblGrid>
      <w:tr>
        <w:trPr>
          <w:trHeight w:val="939" w:hRule="atLeast"/>
          <w:cantSplit w:val="true"/>
        </w:trPr>
        <w:tc>
          <w:tcPr>
            <w:tcW w:w="1985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Efekt uczenia się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Odniesienie do efektów kierunkowych</w:t>
            </w:r>
          </w:p>
        </w:tc>
      </w:tr>
      <w:tr>
        <w:trPr>
          <w:trHeight w:val="2116" w:hRule="atLeast"/>
          <w:cantSplit w:val="true"/>
        </w:trPr>
        <w:tc>
          <w:tcPr>
            <w:tcW w:w="1985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2"/>
                <w:szCs w:val="22"/>
              </w:rPr>
              <w:t>U01 Interpretuje problemy parazytologiczne w ochronie środowiska.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0"/>
                <w:szCs w:val="20"/>
              </w:rPr>
              <w:t>U02 U</w:t>
            </w:r>
            <w:r>
              <w:rPr>
                <w:rFonts w:cs="Arial" w:ascii="Arial" w:hAnsi="Arial"/>
                <w:sz w:val="22"/>
                <w:szCs w:val="22"/>
              </w:rPr>
              <w:t>miejętnie proponuje i szerzy oświatę zdrowotną jako profilaktykę inwazjom pasożytniczym.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/>
              <w:suppressAutoHyphens w:val="false"/>
              <w:autoSpaceDE w:val="true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</w:rPr>
              <w:t>U03 Wykorzystuje dostępne źródła  informacji i techniki multimedialne do zaprezentowania wyników opracowywanego problemu parazytologicznego.</w:t>
            </w:r>
          </w:p>
          <w:p>
            <w:pPr>
              <w:pStyle w:val="Normal"/>
              <w:widowControl/>
              <w:suppressAutoHyphens w:val="false"/>
              <w:autoSpaceDE w:val="tru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</w:rPr>
              <w:t>U04 Wykonuje samodzielnie lub w zespole zadania badawcze związane z obserwacją pasożytów.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K_U08, K_U09, K_U10, K_U11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K_U06, K_U09, K_U10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K_U03, K_U05, K_U09, K_U11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K_U01, K_U06, K_U08, K_U12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985"/>
        <w:gridCol w:w="5245"/>
        <w:gridCol w:w="2410"/>
      </w:tblGrid>
      <w:tr>
        <w:trPr>
          <w:trHeight w:val="800" w:hRule="atLeast"/>
          <w:cantSplit w:val="true"/>
        </w:trPr>
        <w:tc>
          <w:tcPr>
            <w:tcW w:w="1985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Efekt uczenia się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Odniesienie do efektów kierunkowych</w:t>
            </w:r>
          </w:p>
        </w:tc>
      </w:tr>
      <w:tr>
        <w:trPr>
          <w:trHeight w:val="1984" w:hRule="atLeast"/>
          <w:cantSplit w:val="true"/>
        </w:trPr>
        <w:tc>
          <w:tcPr>
            <w:tcW w:w="1985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/>
              <w:suppressAutoHyphens w:val="false"/>
              <w:autoSpaceDE w:val="true"/>
              <w:spacing w:lineRule="auto" w:line="276" w:before="0" w:after="200"/>
              <w:rPr/>
            </w:pPr>
            <w:r>
              <w:rPr>
                <w:rFonts w:cs="Arial" w:ascii="Arial" w:hAnsi="Arial"/>
                <w:sz w:val="22"/>
                <w:szCs w:val="22"/>
              </w:rPr>
              <w:t>K01 Postępuje zgodnie z podstawowymi zasadami zapobiegania inwazjom pasożytniczym w trakcie wycieczek terenowych oraz innych prywatnych wyjazdów.</w:t>
            </w:r>
          </w:p>
          <w:p>
            <w:pPr>
              <w:pStyle w:val="Normal"/>
              <w:widowControl/>
              <w:suppressAutoHyphens w:val="false"/>
              <w:autoSpaceDE w:val="true"/>
              <w:rPr/>
            </w:pPr>
            <w:r>
              <w:rPr>
                <w:rFonts w:cs="Arial" w:ascii="Arial" w:hAnsi="Arial"/>
                <w:sz w:val="22"/>
                <w:szCs w:val="22"/>
              </w:rPr>
              <w:t>K02 Świadomy szkodliwości pasożytów, uszkadzania, zatruwania, uczulania i wywoływania reakcji stresowych przez pasożyty u żywicieli.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K03 Zdolny</w:t>
            </w:r>
            <w:r>
              <w:rPr>
                <w:rFonts w:cs="Arial" w:ascii="Arial" w:hAnsi="Arial"/>
                <w:sz w:val="22"/>
                <w:szCs w:val="22"/>
              </w:rPr>
              <w:t xml:space="preserve"> do wyrażenia własnej oceny na temat szkodliwości pasożytów w życiu człowieka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K_K07, K_K08, K_K04, K_K01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K_K07, K_K08, K_K04, K_K01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K_K07, K_K08, K_K04, K_K01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>
        <w:trPr>
          <w:trHeight w:val="424" w:hRule="exact"/>
          <w:cantSplit w:val="true"/>
        </w:trPr>
        <w:tc>
          <w:tcPr>
            <w:tcW w:w="9640" w:type="dxa"/>
            <w:gridSpan w:val="14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  <w:vAlign w:val="center"/>
          </w:tcPr>
          <w:p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Organizacja</w:t>
            </w:r>
          </w:p>
        </w:tc>
      </w:tr>
      <w:tr>
        <w:trPr>
          <w:trHeight w:val="654" w:hRule="atLeast"/>
          <w:cantSplit w:val="true"/>
        </w:trPr>
        <w:tc>
          <w:tcPr>
            <w:tcW w:w="1611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Wykład</w:t>
            </w:r>
          </w:p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Ćwiczenia w grupach</w:t>
            </w:r>
          </w:p>
        </w:tc>
      </w:tr>
      <w:tr>
        <w:trPr>
          <w:trHeight w:val="477" w:hRule="atLeast"/>
          <w:cantSplit w:val="true"/>
        </w:trPr>
        <w:tc>
          <w:tcPr>
            <w:tcW w:w="1611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25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6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1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16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462" w:hRule="atLeast"/>
        </w:trPr>
        <w:tc>
          <w:tcPr>
            <w:tcW w:w="16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2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zal.</w:t>
            </w: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zal. z oc.</w:t>
            </w: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  <w:t>Opis metod prowadzenia zajęć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622"/>
      </w:tblGrid>
      <w:tr>
        <w:trPr>
          <w:trHeight w:val="1920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Zawartotabeli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Wykłady.</w:t>
            </w:r>
            <w:r>
              <w:rPr>
                <w:rFonts w:cs="Arial" w:ascii="Arial" w:hAnsi="Arial"/>
                <w:sz w:val="20"/>
                <w:szCs w:val="20"/>
              </w:rPr>
              <w:t xml:space="preserve">  Urozmaiceniem wykładu w formie prelekcji są wykorzystywane środki wizualne. Barwne prezentacje fotograficzne pasożytów w formie slajdów i pokazów multimedialnych, ryciny ułatwiające zrozumienie cykli rozwojowych, oraz obrazujące objawy uboczne chorób pasożytniczych,  mapy z zasięgiem gatunków pasożytniczych. Podczas wykładów praktykuje się tradycyjny wykład z elementami pogadanki i dyskusji.</w:t>
            </w:r>
          </w:p>
          <w:p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Ćwiczenia.</w:t>
            </w:r>
            <w:r>
              <w:rPr>
                <w:rFonts w:cs="Arial" w:ascii="Arial" w:hAnsi="Arial"/>
                <w:sz w:val="20"/>
                <w:szCs w:val="20"/>
              </w:rPr>
              <w:t xml:space="preserve">  Zajęcia są prowadzone w formie ćwiczeń laboratoryjnych, wykonywany jest systematyczny przegląd pasożytów ze zwróceniem uwagi na pasożyty atakujące ludzi i zwierzęta w Polsce. Prowadzone są obserwacje preparatów mikroskopowych, w niektórych przypadkach praca z żywym materiałem. Studenci samodzielnie opracowują w dowolnej formie epidemiologię wybranych parazytoz, zagrożenia i profilaktykę inwazji pasożytniczych, ze szczególnym uwzględnieniem umiejętności ochrony dzieci i młodzieży przed atakami pasożytów. Samodzielne lub zespołowe prezentacje studentów są prowadzone przy pomocy technik multimedialnych, referatów. Na ćwiczeniach wykorzystuje się również  elementy pogadanki i dyskusji.</w:t>
            </w:r>
          </w:p>
        </w:tc>
      </w:tr>
    </w:tbl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  <w:t>Formy sprawdzania efektów uczenia się</w:t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2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>
        <w:trPr>
          <w:trHeight w:val="1616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C0C0C0"/>
              <w:right w:val="single" w:sz="4" w:space="0" w:color="95B3D7"/>
            </w:tcBorders>
            <w:shd w:fill="DBE5F1" w:val="clear"/>
            <w:textDirection w:val="btLr"/>
            <w:vAlign w:val="center"/>
          </w:tcPr>
          <w:p>
            <w:pPr>
              <w:pStyle w:val="Normal"/>
              <w:snapToGrid w:val="false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E – 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Inne</w:t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Balloon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U04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   </w:t>
            </w:r>
            <w:r>
              <w:rPr>
                <w:rFonts w:cs="Arial" w:ascii="Arial" w:hAnsi="Arial"/>
                <w:sz w:val="20"/>
                <w:szCs w:val="20"/>
              </w:rPr>
              <w:t>K03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</w:tbl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941"/>
        <w:gridCol w:w="7699"/>
      </w:tblGrid>
      <w:tr>
        <w:trPr/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2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sz w:val="20"/>
                <w:szCs w:val="20"/>
              </w:rPr>
              <w:t>Zaliczenie wykładów na podstawie:</w:t>
            </w:r>
            <w:r>
              <w:rPr>
                <w:rFonts w:cs="Arial" w:ascii="Arial" w:hAnsi="Arial"/>
                <w:sz w:val="20"/>
                <w:szCs w:val="20"/>
              </w:rPr>
              <w:t xml:space="preserve"> Obecność na wykładach, praca pisemna.</w:t>
            </w:r>
          </w:p>
          <w:p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sz w:val="20"/>
                <w:szCs w:val="20"/>
              </w:rPr>
              <w:t>Zaliczenie ćwiczeń na podstawie:</w:t>
            </w:r>
            <w:r>
              <w:rPr>
                <w:rFonts w:cs="Arial" w:ascii="Arial" w:hAnsi="Arial"/>
                <w:sz w:val="20"/>
                <w:szCs w:val="20"/>
              </w:rPr>
              <w:t xml:space="preserve"> Obecność na ćwiczeniach. Teoretyczne przygotowanie do ćwiczeń. Praca pisemna (kolokwium, test wyboru) z poszczególnych grup systematycznych pasożytów, wykazująca znajomość teoretyczną oraz praktyczną przeglądu pasożytów, w tym mikroskopowania. Ocena merytoryczna samodzielnej prezentacji multimedialnej, oraz referatu wygłoszonego na wybrany temat. Ocena aktywności studentów w poruszanych na ćwiczeniach dyskusjach.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941"/>
        <w:gridCol w:w="7699"/>
      </w:tblGrid>
      <w:tr>
        <w:trPr>
          <w:trHeight w:val="1089" w:hRule="atLeast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  <w:vAlign w:val="center"/>
          </w:tcPr>
          <w:p>
            <w:pPr>
              <w:pStyle w:val="Normal"/>
              <w:autoSpaceDE w:val="true"/>
              <w:spacing w:before="0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Uwagi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Obecność na wykładach i ćwiczeniach obowiązkowa. Kontrola obecności na każdym wykładzie i każdych ćwiczeniach. W zależności od bieżącej sytuacji epidemiologicznej zajęcia prowadzone w formie hybrydowej.</w:t>
            </w:r>
          </w:p>
          <w:p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Treści merytoryczne (wykaz tematów)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622"/>
      </w:tblGrid>
      <w:tr>
        <w:trPr>
          <w:trHeight w:val="1136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/>
              <w:suppressAutoHyphens w:val="false"/>
              <w:autoSpaceDE w:val="true"/>
              <w:ind w:left="360" w:right="0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Wykaz tematów z wykładów: </w:t>
            </w:r>
          </w:p>
          <w:p>
            <w:pPr>
              <w:pStyle w:val="Normal"/>
              <w:widowControl/>
              <w:numPr>
                <w:ilvl w:val="0"/>
                <w:numId w:val="4"/>
              </w:numPr>
              <w:suppressAutoHyphens w:val="false"/>
              <w:autoSpaceDE w:val="tru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Definicja parazytologii jako nauki. Polskie ośrodki  parazytologiczne. Polscy, wybitni  parazytolodzy.</w:t>
            </w:r>
          </w:p>
          <w:p>
            <w:pPr>
              <w:pStyle w:val="Normal"/>
              <w:widowControl/>
              <w:numPr>
                <w:ilvl w:val="0"/>
                <w:numId w:val="4"/>
              </w:numPr>
              <w:suppressAutoHyphens w:val="false"/>
              <w:autoSpaceDE w:val="tru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Pasożytnictwo na tle innych związków  wewnątrz-gatunkowych  i miedzy-gatunkowych.</w:t>
            </w:r>
          </w:p>
          <w:p>
            <w:pPr>
              <w:pStyle w:val="Normal"/>
              <w:widowControl/>
              <w:numPr>
                <w:ilvl w:val="0"/>
                <w:numId w:val="4"/>
              </w:numPr>
              <w:suppressAutoHyphens w:val="false"/>
              <w:autoSpaceDE w:val="tru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Klasyfikacja pasożytów i ich żywicieli.</w:t>
            </w:r>
          </w:p>
          <w:p>
            <w:pPr>
              <w:pStyle w:val="Normal"/>
              <w:widowControl/>
              <w:numPr>
                <w:ilvl w:val="0"/>
                <w:numId w:val="4"/>
              </w:numPr>
              <w:suppressAutoHyphens w:val="false"/>
              <w:autoSpaceDE w:val="tru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Układ pasożyt - żywiciel.</w:t>
            </w:r>
          </w:p>
          <w:p>
            <w:pPr>
              <w:pStyle w:val="Normal"/>
              <w:widowControl/>
              <w:numPr>
                <w:ilvl w:val="0"/>
                <w:numId w:val="4"/>
              </w:numPr>
              <w:suppressAutoHyphens w:val="false"/>
              <w:autoSpaceDE w:val="tru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Cykle rozwojowe pasożytów.</w:t>
            </w:r>
          </w:p>
          <w:p>
            <w:pPr>
              <w:pStyle w:val="Normal"/>
              <w:widowControl/>
              <w:numPr>
                <w:ilvl w:val="0"/>
                <w:numId w:val="4"/>
              </w:numPr>
              <w:suppressAutoHyphens w:val="false"/>
              <w:autoSpaceDE w:val="tru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Inwazja pasożytnicza.</w:t>
            </w:r>
          </w:p>
          <w:p>
            <w:pPr>
              <w:pStyle w:val="Normal"/>
              <w:widowControl/>
              <w:numPr>
                <w:ilvl w:val="0"/>
                <w:numId w:val="4"/>
              </w:numPr>
              <w:suppressAutoHyphens w:val="false"/>
              <w:autoSpaceDE w:val="tru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Szkodliwość pasożytów: choroby pasożytnicze na świecie.</w:t>
            </w:r>
          </w:p>
          <w:p>
            <w:pPr>
              <w:pStyle w:val="Normal"/>
              <w:widowControl/>
              <w:numPr>
                <w:ilvl w:val="0"/>
                <w:numId w:val="4"/>
              </w:numPr>
              <w:suppressAutoHyphens w:val="false"/>
              <w:autoSpaceDE w:val="tru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Szkodliwość pasożytów: choroby wywoływane przez pasożytnicze pierwotniaki, robaki i stawonogi  w Polsce.</w:t>
            </w:r>
          </w:p>
          <w:p>
            <w:pPr>
              <w:pStyle w:val="Normal"/>
              <w:widowControl/>
              <w:numPr>
                <w:ilvl w:val="0"/>
                <w:numId w:val="4"/>
              </w:numPr>
              <w:suppressAutoHyphens w:val="false"/>
              <w:autoSpaceDE w:val="tru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Szkodliwość pasożytów: uszkodzenia mechaniczne, uczulanie i zatruwanie ciała żywiciela, podkradanie pokarmu, wywoływanie reakcji stresowych.</w:t>
            </w:r>
          </w:p>
          <w:p>
            <w:pPr>
              <w:pStyle w:val="Normal"/>
              <w:widowControl/>
              <w:numPr>
                <w:ilvl w:val="0"/>
                <w:numId w:val="4"/>
              </w:numPr>
              <w:suppressAutoHyphens w:val="false"/>
              <w:autoSpaceDE w:val="tru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Szkodliwość pasożytów: udział stawonogów w epidemiologii chorób transmisyjnych.</w:t>
            </w:r>
          </w:p>
          <w:p>
            <w:pPr>
              <w:pStyle w:val="Normal"/>
              <w:widowControl/>
              <w:numPr>
                <w:ilvl w:val="0"/>
                <w:numId w:val="4"/>
              </w:numPr>
              <w:suppressAutoHyphens w:val="false"/>
              <w:autoSpaceDE w:val="tru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Środowiskowe zagrożenia inwazjami pasożytniczymi. </w:t>
            </w:r>
          </w:p>
          <w:p>
            <w:pPr>
              <w:pStyle w:val="BalloonText"/>
              <w:numPr>
                <w:ilvl w:val="0"/>
                <w:numId w:val="4"/>
              </w:numPr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0"/>
                <w:szCs w:val="20"/>
              </w:rPr>
              <w:t>Problemy parazytologiczne w ochronie środowiska. Zapobieganie inwazjom pasożytniczym.</w:t>
            </w:r>
          </w:p>
          <w:p>
            <w:pPr>
              <w:pStyle w:val="BalloonText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    </w:t>
            </w:r>
            <w:r>
              <w:rPr>
                <w:rFonts w:cs="Arial" w:ascii="Arial" w:hAnsi="Arial"/>
                <w:b/>
                <w:sz w:val="20"/>
                <w:szCs w:val="20"/>
              </w:rPr>
              <w:t>Wykaz tematów z ćwiczeń:</w:t>
            </w:r>
          </w:p>
          <w:p>
            <w:pPr>
              <w:pStyle w:val="BalloonTex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Systematyczny przegląd i charakterystyka pierwotniaków pasożytniczych. </w:t>
            </w:r>
          </w:p>
          <w:p>
            <w:pPr>
              <w:pStyle w:val="BalloonTex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Systematyczny przegląd i charakterystyka robaków pasożytniczych.</w:t>
            </w:r>
          </w:p>
          <w:p>
            <w:pPr>
              <w:pStyle w:val="BalloonTex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Systematyczny przegląd i charakterystyka stawonogów pasożytniczych. </w:t>
            </w:r>
          </w:p>
          <w:p>
            <w:pPr>
              <w:pStyle w:val="BalloonTex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Kleszcze (Acari: Ixodida)  pasożyty ludzi i zwierząt, choroby odkleszczowe.</w:t>
            </w:r>
          </w:p>
          <w:p>
            <w:pPr>
              <w:pStyle w:val="BalloonTex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Profilaktyka i zapobieganie inwazjom pasożytniczym. </w:t>
            </w:r>
          </w:p>
          <w:p>
            <w:pPr>
              <w:pStyle w:val="BalloonTex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Wykaz literatury podstawowej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622"/>
      </w:tblGrid>
      <w:tr>
        <w:trPr>
          <w:trHeight w:val="1098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/>
              <w:numPr>
                <w:ilvl w:val="0"/>
                <w:numId w:val="2"/>
              </w:numPr>
              <w:suppressAutoHyphens w:val="false"/>
              <w:autoSpaceDE w:val="tru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Deryło A. (red.) Parazytologia i akaroentomologia medyczna. Podręcznik dla studentów, nauczycieli akademickich, lekarzy praktyków i pracowników laboratoriów diagnostycznych. Wyd. Nauk. PWN, Warszawa 2002.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uppressAutoHyphens w:val="false"/>
              <w:autoSpaceDE w:val="tru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Niewiadomska K., Pojmańska T., Machnicka B., Czubaj A. Zarys parazytologii ogólnej. Wyd. Naukowe PWN, Warszawa, 2001.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uppressAutoHyphens w:val="false"/>
              <w:autoSpaceDE w:val="tru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Buczek A. Choroby pasożytnicze. Epidemiologia, diagnostyka, objawy. Lublin, 2005.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Lonc E., Złotorzycka J. Ćwiczenia z parazytologii dla studentów biologii. Wyd. Uniwersytetu Wrocławskiego, Wrocław 1995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uppressAutoHyphens w:val="false"/>
              <w:autoSpaceDE w:val="tru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Nowak-Chmura M., Siuda K. 2012.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Cs/>
                <w:sz w:val="20"/>
                <w:szCs w:val="20"/>
                <w:lang w:val="en-US"/>
              </w:rPr>
              <w:t>Ticks of Poland. Review of contemporary issues and latest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 w:ascii="Arial" w:hAnsi="Arial"/>
                <w:bCs/>
                <w:sz w:val="20"/>
                <w:szCs w:val="20"/>
                <w:lang w:val="en-US"/>
              </w:rPr>
              <w:t xml:space="preserve">research. </w:t>
            </w:r>
            <w:r>
              <w:rPr>
                <w:rFonts w:cs="Arial" w:ascii="Arial" w:hAnsi="Arial"/>
                <w:bCs/>
                <w:sz w:val="20"/>
                <w:szCs w:val="20"/>
              </w:rPr>
              <w:t>Annals of Parasitology 58(3): 125-155.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uppressAutoHyphens w:val="false"/>
              <w:autoSpaceDE w:val="tru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Siuda K., Nowak M., Grycz K., Solarz K. 2004. Stan wiadomości nad rozprzestrzenieniem </w:t>
            </w:r>
            <w:r>
              <w:rPr>
                <w:rFonts w:cs="Arial" w:ascii="Arial" w:hAnsi="Arial"/>
                <w:i/>
                <w:sz w:val="20"/>
                <w:szCs w:val="20"/>
              </w:rPr>
              <w:t>Ixodes ricinus</w:t>
            </w:r>
            <w:r>
              <w:rPr>
                <w:rFonts w:cs="Arial" w:ascii="Arial" w:hAnsi="Arial"/>
                <w:sz w:val="20"/>
                <w:szCs w:val="20"/>
              </w:rPr>
              <w:t xml:space="preserve"> (Linnaeus, 1758) (Acari: Ixodida: Ixodidae) na terenie województwa małopolskiego. W: Partyka J. (red.), Zróżnicowanie i przemiany środowiska przyrodniczo-kulturowego Wyżyny Krakowsko-Częstochowskiej, Tom I Przyroda. Wyd. Ojcowski Park Narodowy, Ojców,  295-301.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uppressAutoHyphens w:val="false"/>
              <w:autoSpaceDE w:val="tru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Żbikowska E. Świat i pasożyty człowieka. Przewodnik nie tylko dla turystów. TNT, Toruń 2021.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uppressAutoHyphens w:val="false"/>
              <w:autoSpaceDE w:val="tru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Zimmer C. Co cię gryzie. Fascynujący świat pasożytów. Wydawnictwo Poznańskie 2021.</w:t>
            </w:r>
          </w:p>
        </w:tc>
      </w:tr>
    </w:tbl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Wykaz literatury uzupełniającej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19244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622"/>
        <w:gridCol w:w="9622"/>
      </w:tblGrid>
      <w:tr>
        <w:trPr>
          <w:trHeight w:val="1112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/>
              <w:numPr>
                <w:ilvl w:val="0"/>
                <w:numId w:val="3"/>
              </w:numPr>
              <w:suppressAutoHyphens w:val="false"/>
              <w:autoSpaceDE w:val="tru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Lonc E. (red.). Parazytologia w ochronie środowiska i zdrowia. Wydawnictwo VOLUMED, Wrocław, 2001.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suppressAutoHyphens w:val="false"/>
              <w:autoSpaceDE w:val="tru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Lonc E.,  Złotorzycka J. Zajęcia praktyczne z parazytologii dla studentów biologii. Wydawnictwo Uniwersytetu Wrocławskiego, Wrocław, 1994.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suppressAutoHyphens w:val="false"/>
              <w:autoSpaceDE w:val="tru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Dziubek Z. (red.). Choroby zakaźne i pasożytnicze. Wydawnictwo Lekarskie PZWL, 2000.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suppressAutoHyphens w:val="false"/>
              <w:autoSpaceDE w:val="tru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Furmaga S. Choroby pasożytnicze zwierząt domowych. PWRiL, Warszawa, 1983.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suppressAutoHyphens w:val="false"/>
              <w:autoSpaceDE w:val="tru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 xml:space="preserve">Stefański W. Parazytologia weterynaryjna. Tom I Protozoologia i helmintologia. PWRiL, Warszawa, 1963. 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suppressAutoHyphens w:val="false"/>
              <w:autoSpaceDE w:val="tru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Stefański W. Parazytologia weterynaryjna. Tom II Arachno-entomologia. PWRiL, Warszawa, 1968.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suppressAutoHyphens w:val="false"/>
              <w:autoSpaceDE w:val="tru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Combes C. Ekologia i ewolucja pasożytnictwa. Długotrwałe wzajemne oddziaływania. Wyd. Naukowe PWN, Warszawa, 1999.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suppressAutoHyphens w:val="false"/>
              <w:autoSpaceDE w:val="tru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Złotorzycka J. (red.) Słownik parazytologiczny. Wydawnictwo PTP, Warszawa, 1998.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suppressAutoHyphens w:val="false"/>
              <w:autoSpaceDE w:val="tru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Nowak-Chmura M. 2013. Fauna kleszczy (Ixodida) Europy Środkowej. Wydawnictwo Naukowe Uniwersytetu Pedagogicznego w Krakowie.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suppressAutoHyphens w:val="false"/>
              <w:autoSpaceDE w:val="tru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Siuda K., Nowak M. 2006. Zagrożenie atakami kleszczy na szlakach turystycznych w województwie małopolskim. Konspekt, 2-3(26): 42-48. 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suppressAutoHyphens w:val="false"/>
              <w:autoSpaceDE w:val="true"/>
              <w:rPr/>
            </w:pPr>
            <w:r>
              <w:rPr>
                <w:rFonts w:cs="Arial" w:ascii="Arial" w:hAnsi="Arial"/>
                <w:sz w:val="20"/>
                <w:szCs w:val="20"/>
              </w:rPr>
              <w:t>Czasopisma naukowe: Annals of Parasitology, Annals Agricultural Environmental Medicine</w:t>
            </w:r>
          </w:p>
        </w:tc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BalloonText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BalloonText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Bilans godzinowy zgodny z CNPS (Całkowity Nakład Pracy Studenta)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58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6"/>
        <w:gridCol w:w="5750"/>
        <w:gridCol w:w="1066"/>
      </w:tblGrid>
      <w:tr>
        <w:trPr>
          <w:trHeight w:val="334" w:hRule="atLeast"/>
          <w:cantSplit w:val="true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jc w:val="center"/>
              <w:rPr/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ind w:left="360" w:right="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ind w:left="360" w:right="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10</w:t>
            </w:r>
          </w:p>
        </w:tc>
      </w:tr>
      <w:tr>
        <w:trPr>
          <w:trHeight w:val="332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widowControl/>
              <w:autoSpaceDE w:val="true"/>
              <w:snapToGrid w:val="false"/>
              <w:spacing w:lineRule="auto" w:line="276"/>
              <w:ind w:left="360" w:right="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ind w:left="360" w:right="0"/>
              <w:jc w:val="center"/>
              <w:rPr/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ind w:left="360" w:right="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20</w:t>
            </w:r>
          </w:p>
        </w:tc>
      </w:tr>
      <w:tr>
        <w:trPr>
          <w:trHeight w:val="670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widowControl/>
              <w:autoSpaceDE w:val="true"/>
              <w:snapToGrid w:val="false"/>
              <w:spacing w:lineRule="auto" w:line="276"/>
              <w:ind w:left="360" w:right="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pacing w:lineRule="auto" w:line="276"/>
              <w:ind w:left="360" w:right="0"/>
              <w:jc w:val="center"/>
              <w:rPr/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ind w:left="360" w:right="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15</w:t>
            </w:r>
          </w:p>
        </w:tc>
      </w:tr>
      <w:tr>
        <w:trPr>
          <w:trHeight w:val="348" w:hRule="atLeast"/>
          <w:cantSplit w:val="true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jc w:val="center"/>
              <w:rPr/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ind w:left="360" w:right="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ind w:left="360" w:right="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15</w:t>
            </w:r>
          </w:p>
        </w:tc>
      </w:tr>
      <w:tr>
        <w:trPr>
          <w:trHeight w:val="710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widowControl/>
              <w:autoSpaceDE w:val="true"/>
              <w:snapToGrid w:val="false"/>
              <w:spacing w:lineRule="auto" w:line="276"/>
              <w:ind w:left="360" w:right="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ind w:left="360" w:right="0"/>
              <w:jc w:val="center"/>
              <w:rPr/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ind w:left="360" w:right="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10</w:t>
            </w:r>
          </w:p>
        </w:tc>
      </w:tr>
      <w:tr>
        <w:trPr>
          <w:trHeight w:val="731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widowControl/>
              <w:autoSpaceDE w:val="true"/>
              <w:snapToGrid w:val="false"/>
              <w:spacing w:lineRule="auto" w:line="276"/>
              <w:ind w:left="360" w:right="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ind w:left="360" w:right="0"/>
              <w:jc w:val="center"/>
              <w:rPr/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ind w:left="360" w:right="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10</w:t>
            </w:r>
          </w:p>
        </w:tc>
      </w:tr>
      <w:tr>
        <w:trPr>
          <w:trHeight w:val="365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widowControl/>
              <w:autoSpaceDE w:val="true"/>
              <w:snapToGrid w:val="false"/>
              <w:spacing w:lineRule="auto" w:line="276"/>
              <w:ind w:left="360" w:right="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ind w:left="360" w:right="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ind w:left="360" w:right="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10</w:t>
            </w:r>
          </w:p>
        </w:tc>
      </w:tr>
      <w:tr>
        <w:trPr>
          <w:trHeight w:val="365" w:hRule="atLeast"/>
        </w:trPr>
        <w:tc>
          <w:tcPr>
            <w:tcW w:w="85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ind w:left="360" w:right="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ind w:left="360" w:right="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90</w:t>
            </w:r>
          </w:p>
        </w:tc>
      </w:tr>
      <w:tr>
        <w:trPr>
          <w:trHeight w:val="392" w:hRule="atLeast"/>
        </w:trPr>
        <w:tc>
          <w:tcPr>
            <w:tcW w:w="85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ind w:left="360" w:right="0"/>
              <w:jc w:val="center"/>
              <w:rPr/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ind w:left="360" w:right="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3</w:t>
            </w:r>
          </w:p>
        </w:tc>
      </w:tr>
    </w:tbl>
    <w:p>
      <w:pPr>
        <w:pStyle w:val="BalloonText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454" w:top="1276" w:footer="70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swiss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Tahoma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5</w:t>
    </w:r>
    <w:r>
      <w:rPr/>
      <w:fldChar w:fldCharType="end"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spacing w:before="0" w:after="0"/>
      <w:jc w:val="right"/>
      <w:rPr>
        <w:b/>
        <w:bCs/>
        <w:i/>
        <w:i/>
        <w:iCs/>
        <w:color w:val="800000"/>
        <w:sz w:val="18"/>
        <w:szCs w:val="18"/>
      </w:rPr>
    </w:pPr>
    <w:r>
      <w:rPr>
        <w:b/>
        <w:bCs/>
        <w:i/>
        <w:iCs/>
        <w:color w:val="800000"/>
        <w:sz w:val="18"/>
        <w:szCs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doNotBreakWrappedTables/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autoSpaceDE w:val="fals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l-PL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autoSpaceDE w:val="true"/>
      <w:jc w:val="center"/>
      <w:outlineLvl w:val="0"/>
    </w:pPr>
    <w:rPr>
      <w:rFonts w:ascii="Verdana" w:hAnsi="Verdana" w:cs="Verdana"/>
      <w:sz w:val="28"/>
      <w:szCs w:val="28"/>
    </w:rPr>
  </w:style>
  <w:style w:type="character" w:styleId="WW8Num1z0">
    <w:name w:val="WW8Num1z0"/>
    <w:qFormat/>
    <w:rPr>
      <w:b w:val="false"/>
      <w:sz w:val="14"/>
      <w:szCs w:val="14"/>
    </w:rPr>
  </w:style>
  <w:style w:type="character" w:styleId="WW8Num3z0">
    <w:name w:val="WW8Num3z0"/>
    <w:qFormat/>
    <w:rPr/>
  </w:style>
  <w:style w:type="character" w:styleId="WW8Num4z0">
    <w:name w:val="WW8Num4z0"/>
    <w:qFormat/>
    <w:rPr>
      <w:b/>
      <w:color w:val="000000"/>
    </w:rPr>
  </w:style>
  <w:style w:type="character" w:styleId="WW8Num5z0">
    <w:name w:val="WW8Num5z0"/>
    <w:qFormat/>
    <w:rPr/>
  </w:style>
  <w:style w:type="character" w:styleId="WW8Num6z0">
    <w:name w:val="WW8Num6z0"/>
    <w:qFormat/>
    <w:rPr>
      <w:b w:val="false"/>
    </w:rPr>
  </w:style>
  <w:style w:type="character" w:styleId="WW8Num7z0">
    <w:name w:val="WW8Num7z0"/>
    <w:qFormat/>
    <w:rPr/>
  </w:style>
  <w:style w:type="character" w:styleId="WW8Num8z0">
    <w:name w:val="WW8Num8z0"/>
    <w:qFormat/>
    <w:rPr>
      <w:sz w:val="20"/>
      <w:szCs w:val="20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0">
    <w:name w:val="WW8Num10z0"/>
    <w:qFormat/>
    <w:rPr/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/>
  </w:style>
  <w:style w:type="character" w:styleId="PageNumber">
    <w:name w:val="Page Number"/>
    <w:rPr>
      <w:sz w:val="14"/>
      <w:szCs w:val="14"/>
    </w:rPr>
  </w:style>
  <w:style w:type="character" w:styleId="Odwoaniedokomentarza">
    <w:name w:val="Odwołanie do komentarza"/>
    <w:qFormat/>
    <w:rPr>
      <w:sz w:val="16"/>
      <w:szCs w:val="16"/>
    </w:rPr>
  </w:style>
  <w:style w:type="character" w:styleId="Znakiprzypiswdolnych">
    <w:name w:val="Znaki przypisów dolnych"/>
    <w:qFormat/>
    <w:rPr>
      <w:vertAlign w:val="superscript"/>
    </w:rPr>
  </w:style>
  <w:style w:type="character" w:styleId="StopkaZnak">
    <w:name w:val="Stopka Znak"/>
    <w:qFormat/>
    <w:rPr>
      <w:sz w:val="24"/>
      <w:szCs w:val="24"/>
    </w:rPr>
  </w:style>
  <w:style w:type="character" w:styleId="TekstdymkaZnak">
    <w:name w:val="Tekst dymka Znak"/>
    <w:qFormat/>
    <w:rPr>
      <w:rFonts w:ascii="Tahoma" w:hAnsi="Tahoma" w:cs="Tahoma"/>
      <w:sz w:val="16"/>
      <w:szCs w:val="16"/>
    </w:rPr>
  </w:style>
  <w:style w:type="character" w:styleId="TekstkomentarzaZnak">
    <w:name w:val="Tekst komentarza Znak"/>
    <w:basedOn w:val="Domylnaczcionkaakapitu"/>
    <w:qFormat/>
    <w:rPr/>
  </w:style>
  <w:style w:type="character" w:styleId="TematkomentarzaZnak">
    <w:name w:val="Temat komentarza Znak"/>
    <w:qFormat/>
    <w:rPr>
      <w:b/>
      <w:bCs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/>
  </w:style>
  <w:style w:type="paragraph" w:styleId="Podpis1">
    <w:name w:val="Podpis1"/>
    <w:basedOn w:val="Normal"/>
    <w:qFormat/>
    <w:pPr>
      <w:suppressLineNumbers/>
      <w:spacing w:before="120" w:after="120"/>
    </w:pPr>
    <w:rPr>
      <w:i/>
      <w:iCs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next w:val="BodyText"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Footer">
    <w:name w:val="Footer"/>
    <w:basedOn w:val="Normal"/>
    <w:pPr>
      <w:tabs>
        <w:tab w:val="clear" w:pos="708"/>
        <w:tab w:val="center" w:pos="4536" w:leader="none"/>
        <w:tab w:val="right" w:pos="9072" w:leader="none"/>
      </w:tabs>
      <w:autoSpaceDE w:val="true"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styleId="Zawartoramki">
    <w:name w:val="Zawartość ramki"/>
    <w:basedOn w:val="BodyText"/>
    <w:qFormat/>
    <w:pPr/>
    <w:rPr/>
  </w:style>
  <w:style w:type="paragraph" w:styleId="Tekstkomentarza">
    <w:name w:val="Tekst komentarza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Tekstkomentarza"/>
    <w:next w:val="Tekstkomentarza"/>
    <w:qFormat/>
    <w:pPr/>
    <w:rPr>
      <w:b/>
      <w:bCs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pPr/>
    <w:rPr>
      <w:sz w:val="20"/>
      <w:szCs w:val="20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  <w:lang w:val="pl-PL"/>
    </w:rPr>
  </w:style>
  <w:style w:type="paragraph" w:styleId="Tematkomentarza">
    <w:name w:val="Temat komentarza"/>
    <w:basedOn w:val="Tekstkomentarza"/>
    <w:next w:val="Tekstkomentarza"/>
    <w:qFormat/>
    <w:pPr/>
    <w:rPr>
      <w:b/>
      <w:bCs/>
      <w:lang w:val="pl-PL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2425</TotalTime>
  <Application>LibreOffice/7.6.1.2$Windows_X86_64 LibreOffice_project/f5defcebd022c5bc36bbb79be232cb6926d8f674</Application>
  <AppVersion>15.0000</AppVersion>
  <Pages>5</Pages>
  <Words>1191</Words>
  <Characters>8202</Characters>
  <CharactersWithSpaces>9213</CharactersWithSpaces>
  <Paragraphs>190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2017-09-17T15:48:00Z</dcterms:created>
  <dc:creator>Barbara Wilk</dc:creator>
  <dc:description/>
  <cp:keywords/>
  <dc:language>pl-PL</dc:language>
  <cp:lastModifiedBy>magdalena nowak-chmura</cp:lastModifiedBy>
  <cp:lastPrinted>2012-01-27T08:28:00Z</cp:lastPrinted>
  <dcterms:modified xsi:type="dcterms:W3CDTF">2023-09-19T17:08:00Z</dcterms:modified>
  <cp:revision>18</cp:revision>
  <dc:subject/>
  <dc:title>KARTA KURSU</dc:title>
</cp:coreProperties>
</file>