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Biologia, II stopień, niestacjonarne, 202</w:t>
      </w:r>
      <w:r>
        <w:rPr>
          <w:rFonts w:cs="Arial" w:ascii="Arial" w:hAnsi="Arial"/>
          <w:i/>
          <w:sz w:val="22"/>
        </w:rPr>
        <w:t>3</w:t>
      </w:r>
      <w:r>
        <w:rPr>
          <w:rFonts w:cs="Arial" w:ascii="Arial" w:hAnsi="Arial"/>
          <w:i/>
          <w:sz w:val="22"/>
        </w:rPr>
        <w:t>/202</w:t>
      </w:r>
      <w:r>
        <w:rPr>
          <w:rFonts w:cs="Arial" w:ascii="Arial" w:hAnsi="Arial"/>
          <w:i/>
          <w:sz w:val="22"/>
        </w:rPr>
        <w:t>4</w:t>
      </w:r>
      <w:r>
        <w:rPr>
          <w:rFonts w:cs="Arial" w:ascii="Arial" w:hAnsi="Arial"/>
          <w:i/>
          <w:sz w:val="22"/>
        </w:rPr>
        <w:t>, semestr I</w:t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Heading1"/>
        <w:rPr>
          <w:rFonts w:ascii="Arial" w:hAnsi="Arial" w:cs="Arial"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Heading1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Regulacja metabolizmu organizmów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Regulation the metabolism of organisms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Andrzej Rzepka prof. UP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Andrzej Rzepka prof. UP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Grzegorz Rut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Grzegorz Migdałek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BalloonText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Wyjaśnienie różnic w metabolizmie roślin i zwierząt. Powiązanie wpływu czynników endogennych (fitohormony, fotoreceptory) oraz zewnętrznych warunków środowiska z zmianami w metabolizmie roślin. Opanowanie metod pomiaru natężenia fotosyntezy i oddychania mitochondrialnego na podstawie ilości pobranego/wydzielonego dwutlenku węgla różnych organów roślin. Omówienie wpływu czynników zewnętrznych: temperatura, uszkodzenia mechaniczne, wpływ inhibitorów oddychania na natężenie oddychania. Charakterystyka uszkodzeń aparatu fotosyntetycznego roślin w warunkach stresu abiotycznego. Określenie dostępności nieorganicznych źródeł węgla i ich wpływ na natężenie fotosyntezy </w:t>
              <w:br/>
              <w:t>u roślin wodnych. Omówienie wpływu czynników egzogennych (temperatura, światło) i endogennych (fitohormony i inhibitory) na metabolizm początkowych etapów wzrostu i rozwoju roślin.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55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Zagadnienia związane z metodyką badań w fizjologii roślin (fotosynteza, oddychanie) w tym i roślin zarodnikowych (mchy). Metody izolacji barwników fotosyntetycznych, pomiary parametrów fluorescencji chlorofilu </w:t>
            </w: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a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. Metody gromadzenia informacji naukowej. Analiza statystyczna uzyskanych wyników oraz ich interpretacja </w:t>
              <w:br/>
              <w:t>i prezentacja graficzna.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>
          <w:trHeight w:val="577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Stosuje zdobytą wiedzę z zakresu fizjologii oraz ekofizjologii roślin w interpretacji zebranych danych empirycznych. W właściwy sposób wykorzystuje literaturę naukową z zakresu fizjologii oraz ekofizjologii roślin w języku polskim oraz angielskim.</w:t>
            </w:r>
          </w:p>
        </w:tc>
      </w:tr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Biochemia, Fizjologia roślin.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Efekty uczenia się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W01 Objaśnia znaczenie procesów katabolicznych </w:t>
              <w:br/>
              <w:t xml:space="preserve">na poziomie molekularnym, komórkowym i organizmu </w:t>
              <w:br/>
              <w:t xml:space="preserve">w powiązaniu z wpływem czynników endogennych </w:t>
              <w:br/>
              <w:t>i egzogennych.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W02 Opisuje mechanizmy wiązania dwutlenku węgla </w:t>
              <w:br/>
              <w:t xml:space="preserve">u roślin w powiązaniu z rozmieszczeniem geograficznym </w:t>
              <w:br/>
              <w:t xml:space="preserve">i przystosowaniami anatomicznymi.  </w:t>
            </w:r>
          </w:p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 Wyjaśnia wpływ zanieczyszczeń środowiska na  przebieg procesów fizjologicznych u organizmów roślinnych.</w:t>
            </w:r>
          </w:p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W04 Objaśnia przystosowania w budowie anatomicznej </w:t>
              <w:br/>
              <w:t>i morfologicznej do odmiennych środowisk życia.</w:t>
            </w:r>
          </w:p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 Rozumie znaczenie fitohormonów dla prawidłowego wzrostu i rozwoju roślin.</w:t>
            </w:r>
          </w:p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 Zna i interpretuje rolę inhibitorów wzrostu i rozwoju roślin w procesach anabolicznych i katabolicznych.</w:t>
            </w:r>
          </w:p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W07 Tłumaczy zmiany natężenia procesów metabolicznych zachodzących na poszczególnych etapach wzrostu i rozwoju organizmu roślinnego. </w:t>
            </w:r>
          </w:p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W08 Wyjaśnia wpływ czynników środowiskowych na zmiany metaboliczne w procesie fotosyntezy i oddychania.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K_W02, K_W10, K_W04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K_W03, K_W06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K_W06, K_W07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K_W03, K_W04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K_W03, K_W04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K_W04, K_W05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K_W03, K_W04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 Przeprowadza eksperymenty wykazujące różnice między roślinami C</w:t>
            </w:r>
            <w:r>
              <w:rPr>
                <w:rFonts w:cs="Arial" w:ascii="Arial" w:hAnsi="Arial"/>
                <w:sz w:val="20"/>
                <w:szCs w:val="20"/>
                <w:vertAlign w:val="subscript"/>
              </w:rPr>
              <w:t>3</w:t>
            </w:r>
            <w:r>
              <w:rPr>
                <w:rFonts w:cs="Arial" w:ascii="Arial" w:hAnsi="Arial"/>
                <w:sz w:val="20"/>
                <w:szCs w:val="20"/>
              </w:rPr>
              <w:t xml:space="preserve"> i C</w:t>
            </w:r>
            <w:r>
              <w:rPr>
                <w:rFonts w:cs="Arial" w:ascii="Arial" w:hAnsi="Arial"/>
                <w:sz w:val="20"/>
                <w:szCs w:val="20"/>
                <w:vertAlign w:val="subscript"/>
              </w:rPr>
              <w:t>4</w:t>
            </w:r>
            <w:r>
              <w:rPr>
                <w:rFonts w:cs="Arial" w:ascii="Arial" w:hAnsi="Arial"/>
                <w:sz w:val="20"/>
                <w:szCs w:val="20"/>
              </w:rPr>
              <w:t xml:space="preserve"> (fotosynteza, fluorescencja chlorofilu).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 Weryfikuje wpływ czynników egzo i endogennych na intensywność przebiegu oddychania mitochondrialnego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U03 Dokonuje analizy przebiegu danego procesu metabolicznego (fotosyntezy, oddychania) w powiązaniu z warunkami zewnętrznymi.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U04 Wykorzystuje znajomość obsługi aparatury pomiarowej (spektrofotometr, fluorymetr) niezbędnej </w:t>
              <w:br/>
              <w:t>w pracy doświadczalnej.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U05 Dokonuje analizy danych pomiarowych pochodzących z różnych źródeł i wyciąga na tej podstawie wnioski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U06 Interpretuje wpływ zanieczyszczeń środowiska na funkcjonowanie oraz metabolizm organizmów roślinnych.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K_U01, K_U04, K_U06</w:t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K_U06, K_U04, K_U08</w:t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K_U01, K_U06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K_U05, K_U07</w:t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K_U04, K_U06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 Sprawnie organizuje pracę samodzielnie i w małej grupie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 Dba o powierzone szkło i sprzęt laboratoryjny zgodnie z obowiązującymi procedurami i przepisami BHP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 Wykazuje samodzielność w organizowaniu sobie stanowiska pracy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K_K02, K_K03, K_K09, K_K10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K_K03, K_K09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Wykład w formie prezentacji multimedialnej obejmuje zagadnienia wpływu zewnętrznych warunków środowiska na zmiany w metabolizmie roślin. Ćwiczenia laboratoryjne opierają się na pracy indywidualnej </w:t>
              <w:br/>
              <w:t xml:space="preserve">i 2-3 osobowych grupach. Studenci przeprowadzają pomiary natężenia wymiany gazowej roślin (fotosynteza, oddychanie), fluorescencji oraz stężenia chlorofilu z wykorzystaniem aparatury badawczej. Wykonują pomiary biometryczne przydatne w ocenie pierwszych etapów wzrostu i rozwoju roślin. Omówienie ćwiczeń w formie prezentacji multimedialnej. Ocena sprawozdań z przeprowadzonych pomiarów w czasie ćwiczeń. </w:t>
            </w:r>
          </w:p>
          <w:p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Aparatura wykorzystywana podczas ćwiczeń: analizatory gazowe podczerwieni: Ciras 2, ADC MK3, fluorymetr FMS, FLUORCAM FC, spektrofotometr CECIL Aquarius 9500, komory fitotronowe z światłem niebieskim, czerwonym lub dalekiej czerwieni.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kształcenia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BalloonText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BalloonText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W08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Egzamin: egzamin pisemny z pytaniami zamkniętymi. </w:t>
            </w:r>
          </w:p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Zaliczenie ćwiczeń obejmujące: sprawdzenie przygotowania teoretycznego, ocenę sprawozdań, kolokwium zaliczeniowego z pytaniami zamkniętymi i otwartymi. Omówienie sprawozdań i ich interpretacja oraz wyników kolokwium zaliczeniowego.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BalloonText1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1.Metody pomiaru natężenia oddychania mitochondrialnego na podstawie ilości pobranego tlenu i wydzielonego dwutlenku węgla różnych organów roślin (liście, pędy, korzenie). Wpływ czynników zewnętrznych: temperatura, uszkodzenia mechaniczne, wpływ inhibitorów oddychania na natężenie oddychania.</w:t>
            </w:r>
          </w:p>
          <w:p>
            <w:pPr>
              <w:pStyle w:val="BalloonText1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2.Uszkodzenia aparatu fotosyntetycznego roślin w warunkach stresu abiotycznego (hipoksja). Pomiary stężenia chlorofilu antocyjanów (metoda Arnona, metoda Barnesa) i parametrów fluorescencji chlorofilu. </w:t>
            </w:r>
          </w:p>
          <w:p>
            <w:pPr>
              <w:pStyle w:val="BalloonText1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3.Pomiary natężenia fotosyntezy i wyznaczanie stężenia kompensacyjnego dwutlenku węgla. Dostępność nieorganicznych źródeł węgla i ich wpływ na natężenie fotosyntezy u roślin wodnych. </w:t>
            </w:r>
          </w:p>
          <w:p>
            <w:pPr>
              <w:pStyle w:val="BalloonText1"/>
              <w:spacing w:lineRule="auto" w:line="27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4.Wpływ czynników egzogennych (temperatura, światło) i endogennych (fitohormony i inhibitory) na metabolizm początkowych etapów wzrostu i rozwoju roślin.</w:t>
            </w:r>
            <w:r>
              <w:rPr>
                <w:rFonts w:cs="Arial" w:ascii="Arial" w:hAnsi="Arial"/>
                <w:sz w:val="22"/>
              </w:rPr>
              <w:t xml:space="preserve">   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Kopcewicz J., S. Lewak : Podstawy fizjologii roślin. PWN 1998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Lewak S., Kopcewicz J. 2009. Fizjologia roślin. Wprowadzenie. PWN.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Szwejkowska A. 1997. Fizjologia roślin. WN UAM Poznań</w:t>
            </w:r>
          </w:p>
          <w:p>
            <w:pPr>
              <w:pStyle w:val="NormalWeb"/>
              <w:spacing w:lineRule="auto" w:line="276" w:beforeAutospacing="0" w:before="0" w:afterAutospacing="0" w:after="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Zurzycki J., Michniewicz M. (red.) 1985. Fizjologia roślin, PWRiL, Warszawa.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Filek M., Biesaga-Ko</w:t>
            </w:r>
            <w:r>
              <w:rPr>
                <w:rFonts w:eastAsia="TimesNewRoman" w:cs="Arial" w:ascii="Arial" w:hAnsi="Arial"/>
                <w:sz w:val="20"/>
                <w:szCs w:val="20"/>
              </w:rPr>
              <w:t>ś</w:t>
            </w:r>
            <w:r>
              <w:rPr>
                <w:rFonts w:cs="Arial" w:ascii="Arial" w:hAnsi="Arial"/>
                <w:sz w:val="20"/>
                <w:szCs w:val="20"/>
              </w:rPr>
              <w:t>cielniak J., Marci</w:t>
            </w:r>
            <w:r>
              <w:rPr>
                <w:rFonts w:eastAsia="TimesNewRoman" w:cs="Arial" w:ascii="Arial" w:hAnsi="Arial"/>
                <w:sz w:val="20"/>
                <w:szCs w:val="20"/>
              </w:rPr>
              <w:t>ń</w:t>
            </w:r>
            <w:r>
              <w:rPr>
                <w:rFonts w:cs="Arial" w:ascii="Arial" w:hAnsi="Arial"/>
                <w:sz w:val="20"/>
                <w:szCs w:val="20"/>
              </w:rPr>
              <w:t xml:space="preserve">ska I. 2004.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Analytical methods in plant stress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biology. </w:t>
            </w:r>
            <w:r>
              <w:rPr>
                <w:rFonts w:cs="Arial" w:ascii="Arial" w:hAnsi="Arial"/>
                <w:sz w:val="20"/>
                <w:szCs w:val="20"/>
              </w:rPr>
              <w:t>PAN Kraków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Kreeb K., 1979. Ekofizjologia roślin. PWN, Warszawa. 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Starck Z., Chołuj D., Niemyska B., 1995. Fizjologiczne reakcje roślin na niekorzystne czynniki środowiska, Wyd. SGGW, Warszawa. 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Górecki R., S. Grzesiuk (red.). 2002. Fizjologia plonowania roślin, Wydawnictwo Uniwersytetu Warmińsko-Mazurskiego, Olsztyn.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Górecki R.J., Grzesiuk S. 2002. Fizjologia plonowania roślin. UW-M Olsztyn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 xml:space="preserve">Hall D.O., Rao K.K., 1999.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Fotosynteza. Wydawnictwa Naukowo Techniczne, Warszawa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Komórki roślinne w warunkach stresu T.1-2 (red. Woźny A, Przybył K)  Wyd. Nauk. UAM Poznań, 2004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Kopczewski T., Kuźniak E., Kornaś A., Rut G., Nosek M., Ciereszko I., Szczepaniak L. (2020).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Local and Systemic Changes in Photosynthetic Parameters and Antioxidant Activity in Cucumber Challenged with Pseudomonas syringae pv lachrymans. International Journal of Molecular Sciences 21, 6378, https://doi.org/10.3390/ijms21176378, MNiSW 140 pkt.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Skoczowski A., Rut G., Oliwa J., Kornaś A. (2020).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Sporulation modifies the photosynthetic activity of sporotrophophyll leaves of Platycerium bifurcatum. </w:t>
            </w:r>
            <w:r>
              <w:rPr>
                <w:rFonts w:cs="Arial" w:ascii="Arial" w:hAnsi="Arial"/>
                <w:sz w:val="20"/>
                <w:szCs w:val="20"/>
              </w:rPr>
              <w:t>Photosynthetica 58 (SI): 303-311, https://doi.org/10.32615/ps.2019.176 MNiSW 70 pkt.</w:t>
            </w:r>
          </w:p>
        </w:tc>
      </w:tr>
    </w:tbl>
    <w:p>
      <w:pPr>
        <w:pStyle w:val="BalloonText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alloonText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8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14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22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7</w:t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22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78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</w:t>
            </w:r>
          </w:p>
        </w:tc>
      </w:tr>
    </w:tbl>
    <w:p>
      <w:pPr>
        <w:pStyle w:val="BalloonText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keepNext w:val="true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Verdana" w:hAnsi="Verdan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Pagenumber">
    <w:name w:val="page number"/>
    <w:qFormat/>
    <w:rPr>
      <w:sz w:val="14"/>
      <w:szCs w:val="14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iprzypiswdolnych">
    <w:name w:val="Znaki przypisów dolnych"/>
    <w:semiHidden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BodyText"/>
    <w:qFormat/>
    <w:pPr/>
    <w:rPr/>
  </w:style>
  <w:style w:type="paragraph" w:styleId="Annotationtext">
    <w:name w:val="annotation text"/>
    <w:basedOn w:val="Normal"/>
    <w:semiHidden/>
    <w:qFormat/>
    <w:pPr/>
    <w:rPr>
      <w:sz w:val="20"/>
      <w:szCs w:val="20"/>
    </w:rPr>
  </w:style>
  <w:style w:type="paragraph" w:styleId="Tematkomentarza1" w:customStyle="1">
    <w:name w:val="Temat komentarza1"/>
    <w:basedOn w:val="Annotationtext"/>
    <w:next w:val="Annotationtext"/>
    <w:qFormat/>
    <w:pPr/>
    <w:rPr>
      <w:b/>
      <w:bCs/>
    </w:rPr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/>
    <w:rPr>
      <w:sz w:val="20"/>
      <w:szCs w:val="20"/>
    </w:rPr>
  </w:style>
  <w:style w:type="paragraph" w:styleId="NormalWeb">
    <w:name w:val="Normal (Web)"/>
    <w:basedOn w:val="Normal"/>
    <w:unhideWhenUsed/>
    <w:qFormat/>
    <w:rsid w:val="00525afd"/>
    <w:pPr>
      <w:widowControl/>
      <w:suppressAutoHyphens w:val="false"/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LibreOffice/7.6.1.2$Windows_X86_64 LibreOffice_project/f5defcebd022c5bc36bbb79be232cb6926d8f674</Application>
  <AppVersion>15.0000</AppVersion>
  <Pages>6</Pages>
  <Words>1129</Words>
  <Characters>7717</Characters>
  <CharactersWithSpaces>8686</CharactersWithSpaces>
  <Paragraphs>189</Paragraphs>
  <Company>Akademia Pedagogiczna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2022-11-18T07:56:00Z</dcterms:created>
  <dc:creator>Barbara Wilk</dc:creator>
  <dc:description/>
  <dc:language>pl-PL</dc:language>
  <cp:lastModifiedBy/>
  <cp:lastPrinted>2012-01-27T06:28:00Z</cp:lastPrinted>
  <dcterms:modified xsi:type="dcterms:W3CDTF">2023-10-04T13:17:23Z</dcterms:modified>
  <cp:revision>3</cp:revision>
  <dc:subject/>
  <dc:title>KARTA KURSU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