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Załącznik nr 4 do Zarządzenia Nr RD/Z.0201-3/2020</w:t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Biologia, I stopień, st. stacjonarne, 202</w:t>
      </w:r>
      <w:r>
        <w:rPr>
          <w:rFonts w:cs="Arial" w:ascii="Arial" w:hAnsi="Arial"/>
          <w:i/>
          <w:sz w:val="22"/>
        </w:rPr>
        <w:t>3</w:t>
      </w:r>
      <w:r>
        <w:rPr>
          <w:rFonts w:cs="Arial" w:ascii="Arial" w:hAnsi="Arial"/>
          <w:i/>
          <w:sz w:val="22"/>
        </w:rPr>
        <w:t>/202</w:t>
      </w:r>
      <w:r>
        <w:rPr>
          <w:rFonts w:cs="Arial" w:ascii="Arial" w:hAnsi="Arial"/>
          <w:i/>
          <w:sz w:val="22"/>
        </w:rPr>
        <w:t>4</w:t>
      </w:r>
      <w:r>
        <w:rPr>
          <w:rFonts w:cs="Arial" w:ascii="Arial" w:hAnsi="Arial"/>
          <w:i/>
          <w:sz w:val="22"/>
        </w:rPr>
        <w:t xml:space="preserve">, semestr III </w:t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Heading1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</w:rPr>
        <w:t>KARTA KURSU</w:t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Statystyka dla biologów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Statistic for Biologists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Marzena Albrycht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Marzena Albrycht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Łukasz Binkowski, prof. UP</w:t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Poznanie podstawowych metod opisu statystycznego i analizy danych. Podstawowe pojęcia dotyczące, statystyki opisowej, wnioskowania statystycznego. Planowanie eksperymentów, dobór próby. Formułowanie i testowanie hipotez statystycznych oraz interpretacja uzyskanych wyników. Posługiwanie się testami statystycznymi z wykorzystaniem oprogramowania do statystycznej analizy danych.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55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Wiadomości z zakresu matematyki i statystyki na poziomie programu licealnego do klas ogólnych</w:t>
            </w:r>
          </w:p>
        </w:tc>
      </w:tr>
      <w:tr>
        <w:trPr>
          <w:trHeight w:val="577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Posługiwanie się ze zrozumieniem, podstawowymi terminami matematycznymi i statystycznymi, rozwiązywanie zadań z zakresu matematyki i statystyki na poziomie licealnym</w:t>
            </w:r>
          </w:p>
        </w:tc>
      </w:tr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Efekty uczenia się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suppressAutoHyphens w:val="false"/>
              <w:spacing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W01. Tłumaczy podstawowe terminy statystyki opisowej.</w:t>
            </w:r>
          </w:p>
          <w:p>
            <w:pPr>
              <w:pStyle w:val="Normal"/>
              <w:widowControl/>
              <w:suppressAutoHyphens w:val="false"/>
              <w:spacing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W02.  Wymienia i opisuje etapy wnioskowania statystycznego.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W03. Opisuje założenia, które muszą być spełnione w celu zastosowania odpowiednich testów statystycznych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W04. Zna podstawowe testy statystyczne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W18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W18</w:t>
              <w:br/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W18</w:t>
              <w:br/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W18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BodyText2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U01. Korzysta z dostępnych źródeł informacji w celu opracowania danego zagadnienia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U02. Oblicza podstawowe statystyki</w:t>
            </w:r>
          </w:p>
          <w:p>
            <w:pPr>
              <w:pStyle w:val="Annotationtext"/>
              <w:spacing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U03. Posługuje się specjalistyczną terminologią statystyczną</w:t>
            </w:r>
          </w:p>
          <w:p>
            <w:pPr>
              <w:pStyle w:val="Annotationtext"/>
              <w:spacing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U04. Formułuje hipotezy statystyczne i wybiera odpowiednią metodę statystycznej analizy.</w:t>
            </w:r>
          </w:p>
          <w:p>
            <w:pPr>
              <w:pStyle w:val="Annotationtext"/>
              <w:spacing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U05. Oblicza statystyki posługując się testami statystycznymi.</w:t>
            </w:r>
          </w:p>
          <w:p>
            <w:pPr>
              <w:pStyle w:val="Annotationtext"/>
              <w:spacing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U06. Interpretuje wynik przeprowadzonego testu statystycznego w kontekście postawionej hipotezy badawczej.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U07. Poprawnie posługuje się programami do statystycznej analizy danych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  <w:br/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U07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U07</w:t>
              <w:br/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U07</w:t>
              <w:br/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U07</w:t>
              <w:br/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U07</w:t>
              <w:br/>
              <w:br/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K01. Dostrzega, na czym polega rzetelność w opracowywaniu wyników badań przyrodniczych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K02. Efektywnie pracuje samodzielnie i w grupie, sprawnie organizując pracę w określonym zakresie,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K03. Nawiązuje poprawne relacje z członkami grupy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K04. Rozumie konieczność uczenia się ustawicznego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K06</w:t>
              <w:br/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K05</w:t>
              <w:br/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K05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2284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Wykłady</w:t>
            </w:r>
            <w:r>
              <w:rPr>
                <w:rFonts w:cs="Arial" w:ascii="Arial" w:hAnsi="Arial"/>
                <w:sz w:val="20"/>
                <w:szCs w:val="20"/>
              </w:rPr>
              <w:t xml:space="preserve"> w formie prezentacji multimedialnych, obejmują teoretyczne podstawy statystyki opisowej, rachunku prawdopodobieństwa, doświadczalnictwa i wnioskowania statystycznego z wykorzystaniem weryfikacji hipotez statystycznych i metod estymacji oraz teoretyczne aspekty metod statystycznej analizy danych poparte przykładami. Wykłady odbywają się poprzez aplikację MS Teams.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 xml:space="preserve">Ćwiczenia </w:t>
            </w:r>
            <w:r>
              <w:rPr>
                <w:rFonts w:cs="Arial" w:ascii="Arial" w:hAnsi="Arial"/>
                <w:sz w:val="20"/>
                <w:szCs w:val="20"/>
              </w:rPr>
              <w:t xml:space="preserve">– obejmują praktyczne zastosowanie podstawowych metod statystyki opisowej i wnioskowania statystycznego. Na zajęciach, na podstawie dostarczonych zestawów danych, studenci obliczają i interpretują powszechnie stosowane statystyki opisowe oraz uczą się zasad wnioskowania statystycznego, wykonują proste testy parametryczne i nieparametryczne posługując się oprogramowaniem do analizy statystycznej oraz interpretują uzyskane wyniki. Wykonują również </w:t>
            </w:r>
            <w:r>
              <w:rPr>
                <w:rFonts w:cs="Arial" w:ascii="Arial" w:hAnsi="Arial"/>
                <w:color w:val="1D1C1D"/>
                <w:sz w:val="20"/>
                <w:szCs w:val="20"/>
                <w:shd w:fill="FFFFFF" w:val="clear"/>
              </w:rPr>
              <w:t>podstawowe analizy statystyczne w programie R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uczenia się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 (pisemne kolokwium)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Aktywny udział w zajęciach, kolokwia cząstkowe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Wykłady i ćwiczenia – zaliczenie w formie</w:t>
            </w: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pisemnej - 60% przewidzianych punktów - ocena pozytywna; zaliczenie z oceną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Obecność na zajęciach obowiązkowa, kontrola obecności na konwersatoriach i wykładach.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Wykłady odbywają się poprzez aplikację MS Teams.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Tekstdymka2"/>
              <w:numPr>
                <w:ilvl w:val="0"/>
                <w:numId w:val="1"/>
              </w:numPr>
              <w:spacing w:before="0" w:after="120"/>
              <w:ind w:hanging="425"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Populacja i próba. Skale pomiaru. Cechy statystyczne ilościowe i jakościowe. Procenty, proporcje, stosunki liczbowe.</w:t>
            </w:r>
          </w:p>
          <w:p>
            <w:pPr>
              <w:pStyle w:val="Tekstdymka2"/>
              <w:numPr>
                <w:ilvl w:val="0"/>
                <w:numId w:val="1"/>
              </w:numPr>
              <w:spacing w:before="0" w:after="120"/>
              <w:ind w:hanging="425"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Szereg rozdzielczy punktowy i przedziałowy, frekwencja, graficzne przedstawianie danych, rozkłady frekwencji, kodowanie oraz transformacja danych.</w:t>
            </w:r>
          </w:p>
          <w:p>
            <w:pPr>
              <w:pStyle w:val="Tekstdymka2"/>
              <w:numPr>
                <w:ilvl w:val="0"/>
                <w:numId w:val="1"/>
              </w:numPr>
              <w:spacing w:before="0" w:after="120"/>
              <w:ind w:hanging="425"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Miary średnie klasyczne i pozycyjne; miary zmienności, rozproszenia, symetrii i spłaszczenia rozkładu; estymatory obciążone i nieobciążone.</w:t>
            </w:r>
          </w:p>
          <w:p>
            <w:pPr>
              <w:pStyle w:val="Tekstdymka2"/>
              <w:numPr>
                <w:ilvl w:val="0"/>
                <w:numId w:val="1"/>
              </w:numPr>
              <w:spacing w:before="0" w:after="120"/>
              <w:ind w:hanging="425"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Zasady testowania hipotez - formułowanie i weryfikacja hipotez statystycznych, losowość i niezależność próby, poziom istotności, obszar krytyczny, prawdopodobieństwo błędu I i II rodzaju.</w:t>
            </w:r>
          </w:p>
          <w:p>
            <w:pPr>
              <w:pStyle w:val="Tekstdymka2"/>
              <w:numPr>
                <w:ilvl w:val="0"/>
                <w:numId w:val="1"/>
              </w:numPr>
              <w:spacing w:before="0" w:after="120"/>
              <w:ind w:hanging="425"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Rozkład normalny, praktyczne posługiwanie się rozkładem normalnym, test dla proporcji, testy jednostronne i dwustronne.</w:t>
            </w:r>
          </w:p>
          <w:p>
            <w:pPr>
              <w:pStyle w:val="Tekstdymka2"/>
              <w:numPr>
                <w:ilvl w:val="0"/>
                <w:numId w:val="1"/>
              </w:numPr>
              <w:spacing w:before="0" w:after="120"/>
              <w:ind w:hanging="425"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Rozkład średnich z prób, przedziały ufności, błąd standardowy.</w:t>
            </w:r>
          </w:p>
          <w:p>
            <w:pPr>
              <w:pStyle w:val="Tekstdymka2"/>
              <w:numPr>
                <w:ilvl w:val="0"/>
                <w:numId w:val="1"/>
              </w:numPr>
              <w:spacing w:before="0" w:after="120"/>
              <w:ind w:hanging="425"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Zasady doboru testów statystycznych – założenia, badanie normalności rozkładu próby</w:t>
            </w:r>
          </w:p>
          <w:p>
            <w:pPr>
              <w:pStyle w:val="Tekstdymka2"/>
              <w:numPr>
                <w:ilvl w:val="0"/>
                <w:numId w:val="1"/>
              </w:numPr>
              <w:spacing w:before="0" w:after="120"/>
              <w:ind w:hanging="425"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Testy dla różnic między średnimi</w:t>
            </w:r>
          </w:p>
          <w:p>
            <w:pPr>
              <w:pStyle w:val="Tekstdymka2"/>
              <w:numPr>
                <w:ilvl w:val="0"/>
                <w:numId w:val="1"/>
              </w:numPr>
              <w:spacing w:before="0" w:after="120"/>
              <w:ind w:hanging="425"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Testy nieparametryczne dla różnic między dwoma próbami</w:t>
            </w:r>
          </w:p>
          <w:p>
            <w:pPr>
              <w:pStyle w:val="Tekstdymka2"/>
              <w:numPr>
                <w:ilvl w:val="0"/>
                <w:numId w:val="1"/>
              </w:numPr>
              <w:spacing w:before="0" w:after="120"/>
              <w:ind w:hanging="425"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Metody analizy wariancji</w:t>
            </w:r>
          </w:p>
          <w:p>
            <w:pPr>
              <w:pStyle w:val="Tekstdymka2"/>
              <w:numPr>
                <w:ilvl w:val="0"/>
                <w:numId w:val="1"/>
              </w:numPr>
              <w:spacing w:before="0" w:after="120"/>
              <w:ind w:hanging="425"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Korelacja i regresja w analizie badania szeregu dwucechowego</w:t>
            </w:r>
          </w:p>
          <w:p>
            <w:pPr>
              <w:pStyle w:val="Tekstdymka2"/>
              <w:numPr>
                <w:ilvl w:val="0"/>
                <w:numId w:val="1"/>
              </w:numPr>
              <w:spacing w:before="0" w:after="120"/>
              <w:ind w:hanging="425"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Nieparametryczne alternatywy klasyfikacji prostej</w:t>
            </w:r>
          </w:p>
          <w:p>
            <w:pPr>
              <w:pStyle w:val="Tekstdymka2"/>
              <w:numPr>
                <w:ilvl w:val="0"/>
                <w:numId w:val="1"/>
              </w:numPr>
              <w:spacing w:before="0" w:after="120"/>
              <w:ind w:hanging="425"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Analiza frekwencji</w:t>
            </w:r>
          </w:p>
          <w:p>
            <w:pPr>
              <w:pStyle w:val="Tekstdymka2"/>
              <w:numPr>
                <w:ilvl w:val="0"/>
                <w:numId w:val="1"/>
              </w:numPr>
              <w:spacing w:before="0" w:after="120"/>
              <w:ind w:hanging="425"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1D1C1D"/>
                <w:sz w:val="20"/>
                <w:szCs w:val="20"/>
                <w:shd w:fill="FFFFFF" w:val="clear"/>
              </w:rPr>
              <w:t>Wykonywanie podstawowych analiz statystycznych w programie R.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Standard"/>
              <w:numPr>
                <w:ilvl w:val="0"/>
                <w:numId w:val="2"/>
              </w:numPr>
              <w:tabs>
                <w:tab w:val="clear" w:pos="708"/>
              </w:tabs>
              <w:spacing w:before="60" w:after="0"/>
              <w:ind w:hanging="284" w:left="356"/>
              <w:contextualSpacing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Łomnicki, A. 2014. Wprowadzenie do statystyki dla przyrodników. Wydawnictwo Naukowe PWN. Warszawa.</w:t>
            </w:r>
          </w:p>
          <w:p>
            <w:pPr>
              <w:pStyle w:val="Standard"/>
              <w:numPr>
                <w:ilvl w:val="0"/>
                <w:numId w:val="2"/>
              </w:numPr>
              <w:tabs>
                <w:tab w:val="clear" w:pos="708"/>
              </w:tabs>
              <w:spacing w:before="60" w:after="0"/>
              <w:ind w:hanging="284" w:left="356"/>
              <w:contextualSpacing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Meissner, W. 2014. Metody statystyczne w biologii. Wydawnictwo Uniwersytetu Gdańskiego. Gdańsk.</w:t>
            </w:r>
          </w:p>
          <w:p>
            <w:pPr>
              <w:pStyle w:val="Standard"/>
              <w:numPr>
                <w:ilvl w:val="0"/>
                <w:numId w:val="2"/>
              </w:numPr>
              <w:tabs>
                <w:tab w:val="clear" w:pos="708"/>
              </w:tabs>
              <w:spacing w:before="60" w:after="0"/>
              <w:ind w:hanging="284" w:left="356"/>
              <w:contextualSpacing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Stanisz A. 2006. Przystępny kurs statystyki z zastosowaniem STATISTICA PL na przykładach z medycyny. StatSoft. Kraków.</w:t>
            </w:r>
          </w:p>
          <w:p>
            <w:pPr>
              <w:pStyle w:val="Standard"/>
              <w:numPr>
                <w:ilvl w:val="0"/>
                <w:numId w:val="2"/>
              </w:numPr>
              <w:tabs>
                <w:tab w:val="clear" w:pos="708"/>
              </w:tabs>
              <w:spacing w:before="60" w:after="0"/>
              <w:ind w:hanging="284" w:left="356"/>
              <w:contextualSpacing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Wołek, J. 2006. Wprowadzenie do statystyki dla biologów. Wydawnictwo Naukowe Akademii Pedagogicznej. Kraków.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Wykaz literatury uzupełniającej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Heading1"/>
              <w:numPr>
                <w:ilvl w:val="0"/>
                <w:numId w:val="3"/>
              </w:numPr>
              <w:spacing w:before="0" w:after="96"/>
              <w:ind w:hanging="284" w:left="284"/>
              <w:contextualSpacing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en-US"/>
              </w:rPr>
              <w:t>Sokal R. R., Rohlf  F. J. 1995.</w:t>
            </w:r>
            <w:r>
              <w:rPr>
                <w:rStyle w:val="Apple-converted-space"/>
                <w:rFonts w:cs="Arial" w:ascii="Arial" w:hAnsi="Arial"/>
                <w:bCs/>
                <w:sz w:val="20"/>
                <w:szCs w:val="20"/>
                <w:lang w:val="en-US"/>
              </w:rPr>
              <w:t> </w:t>
            </w:r>
            <w:r>
              <w:rPr>
                <w:rFonts w:cs="Arial" w:ascii="Arial" w:hAnsi="Arial"/>
                <w:bCs/>
                <w:sz w:val="20"/>
                <w:szCs w:val="20"/>
                <w:lang w:val="en-US"/>
              </w:rPr>
              <w:t>Biometry: The principles and practices of statistics in biological research.</w:t>
            </w:r>
            <w:r>
              <w:rPr>
                <w:rStyle w:val="Apple-converted-space"/>
                <w:rFonts w:cs="Arial" w:ascii="Arial" w:hAnsi="Arial"/>
                <w:bCs/>
                <w:sz w:val="20"/>
                <w:szCs w:val="20"/>
                <w:lang w:val="en-US"/>
              </w:rPr>
              <w:t> </w:t>
            </w:r>
            <w:r>
              <w:rPr>
                <w:rFonts w:cs="Arial" w:ascii="Arial" w:hAnsi="Arial"/>
                <w:bCs/>
                <w:sz w:val="20"/>
                <w:szCs w:val="20"/>
                <w:lang w:val="en-US"/>
              </w:rPr>
              <w:t>W. H. Freeman and Company, New York.</w:t>
            </w:r>
          </w:p>
          <w:p>
            <w:pPr>
              <w:pStyle w:val="Publikacje"/>
              <w:numPr>
                <w:ilvl w:val="0"/>
                <w:numId w:val="5"/>
              </w:numPr>
              <w:spacing w:lineRule="auto" w:line="240" w:before="0" w:after="96"/>
              <w:ind w:hanging="284" w:left="284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Merta D., B. Bobek, M. Albrycht, J. Furtek.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2015. The age structure and sex ratio in wild boar (</w:t>
            </w:r>
            <w:r>
              <w:rPr>
                <w:rFonts w:cs="Arial" w:ascii="Arial" w:hAnsi="Arial"/>
                <w:i/>
                <w:sz w:val="20"/>
                <w:szCs w:val="20"/>
                <w:lang w:val="en-US"/>
              </w:rPr>
              <w:t>Sus scrofa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 populations as determined by observations of free-roaming populations and by harvests of collective hunts in southern Poland. European Journal of Wildlife Research  61:167–170.</w:t>
            </w:r>
          </w:p>
          <w:p>
            <w:pPr>
              <w:pStyle w:val="Publikacje"/>
              <w:numPr>
                <w:ilvl w:val="0"/>
                <w:numId w:val="5"/>
              </w:numPr>
              <w:spacing w:lineRule="auto" w:line="240" w:before="0" w:after="96"/>
              <w:ind w:hanging="284" w:left="284"/>
              <w:contextualSpacing/>
              <w:rPr>
                <w:rFonts w:ascii="Arial" w:hAnsi="Arial" w:cs="Arial"/>
                <w:sz w:val="22"/>
                <w:szCs w:val="16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Albrycht M., M. Górecka. 2015. Ocena zimowych preferencji siedliskowych oraz wyznaczenie zimowych ostoi jeleni </w:t>
            </w:r>
            <w:r>
              <w:rPr>
                <w:rFonts w:cs="Arial" w:ascii="Arial" w:hAnsi="Arial"/>
                <w:bCs/>
                <w:sz w:val="20"/>
                <w:szCs w:val="20"/>
                <w:lang w:val="en-US"/>
              </w:rPr>
              <w:t>(</w:t>
            </w:r>
            <w:r>
              <w:rPr>
                <w:rFonts w:cs="Arial" w:ascii="Arial" w:hAnsi="Arial"/>
                <w:i/>
                <w:iCs/>
                <w:sz w:val="20"/>
                <w:szCs w:val="20"/>
                <w:lang w:val="en-US"/>
              </w:rPr>
              <w:t>Cervus elaphus</w:t>
            </w:r>
            <w:r>
              <w:rPr>
                <w:rFonts w:cs="Arial" w:ascii="Arial" w:hAnsi="Arial"/>
                <w:iCs/>
                <w:sz w:val="20"/>
                <w:szCs w:val="20"/>
                <w:lang w:val="en-US"/>
              </w:rPr>
              <w:t xml:space="preserve"> L</w:t>
            </w:r>
            <w:r>
              <w:rPr>
                <w:rFonts w:cs="Arial" w:ascii="Arial" w:hAnsi="Arial"/>
                <w:bCs/>
                <w:sz w:val="20"/>
                <w:szCs w:val="20"/>
                <w:lang w:val="en-US"/>
              </w:rPr>
              <w:t xml:space="preserve">.)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na terenie Nadleśnictwa Rudziniec (Winter habitat selection and designing of forest refuges for red deer </w:t>
            </w:r>
            <w:r>
              <w:rPr>
                <w:rFonts w:cs="Arial" w:ascii="Arial" w:hAnsi="Arial"/>
                <w:bCs/>
                <w:sz w:val="20"/>
                <w:szCs w:val="20"/>
                <w:lang w:val="en-US"/>
              </w:rPr>
              <w:t>(</w:t>
            </w:r>
            <w:r>
              <w:rPr>
                <w:rFonts w:cs="Arial" w:ascii="Arial" w:hAnsi="Arial"/>
                <w:i/>
                <w:iCs/>
                <w:sz w:val="20"/>
                <w:szCs w:val="20"/>
                <w:lang w:val="en-US"/>
              </w:rPr>
              <w:t>Cervus elaphus</w:t>
            </w:r>
            <w:r>
              <w:rPr>
                <w:rFonts w:cs="Arial" w:ascii="Arial" w:hAnsi="Arial"/>
                <w:iCs/>
                <w:sz w:val="20"/>
                <w:szCs w:val="20"/>
                <w:lang w:val="en-US"/>
              </w:rPr>
              <w:t xml:space="preserve"> L</w:t>
            </w:r>
            <w:r>
              <w:rPr>
                <w:rFonts w:cs="Arial" w:ascii="Arial" w:hAnsi="Arial"/>
                <w:bCs/>
                <w:sz w:val="20"/>
                <w:szCs w:val="20"/>
                <w:lang w:val="en-US"/>
              </w:rPr>
              <w:t>.) in Rudziniec Forest District) Episteme 27 t. 1: 11-23.</w:t>
            </w:r>
          </w:p>
          <w:p>
            <w:pPr>
              <w:pStyle w:val="Publikacje"/>
              <w:numPr>
                <w:ilvl w:val="0"/>
                <w:numId w:val="5"/>
              </w:numPr>
              <w:spacing w:lineRule="auto" w:line="240" w:before="0" w:after="0"/>
              <w:ind w:hanging="284" w:left="284"/>
              <w:contextualSpacing/>
              <w:outlineLvl w:val="0"/>
              <w:rPr>
                <w:rFonts w:ascii="Arial" w:hAnsi="Arial" w:eastAsia="Times New Roman" w:cs="Arial"/>
                <w:kern w:val="2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Albrycht M., Merta, D., Bobek, J., Ulejczyk., S. 2016. </w:t>
            </w:r>
            <w:r>
              <w:rPr>
                <w:rFonts w:cs="Arial" w:ascii="Arial" w:hAnsi="Arial"/>
                <w:bCs/>
                <w:sz w:val="20"/>
                <w:szCs w:val="20"/>
                <w:lang w:val="en-US"/>
              </w:rPr>
              <w:t xml:space="preserve">Demographic variables of wild boar </w:t>
            </w:r>
            <w:r>
              <w:rPr>
                <w:rFonts w:cs="Arial" w:ascii="Arial" w:hAnsi="Arial"/>
                <w:bCs/>
                <w:sz w:val="20"/>
                <w:szCs w:val="20"/>
                <w:lang w:val="en-GB"/>
              </w:rPr>
              <w:t>(</w:t>
            </w:r>
            <w:r>
              <w:rPr>
                <w:rFonts w:cs="Arial" w:ascii="Arial" w:hAnsi="Arial"/>
                <w:bCs/>
                <w:i/>
                <w:sz w:val="20"/>
                <w:szCs w:val="20"/>
                <w:lang w:val="en-GB"/>
              </w:rPr>
              <w:t>Sus scrofa</w:t>
            </w:r>
            <w:r>
              <w:rPr>
                <w:rFonts w:cs="Arial" w:ascii="Arial" w:hAnsi="Arial"/>
                <w:bCs/>
                <w:sz w:val="20"/>
                <w:szCs w:val="20"/>
                <w:lang w:val="en-GB"/>
              </w:rPr>
              <w:t xml:space="preserve">) population inhabiting forest farmland mosaic landscape in north eastern Poland. </w:t>
            </w:r>
            <w:r>
              <w:rPr>
                <w:rFonts w:cs="Arial" w:ascii="Arial" w:hAnsi="Arial"/>
                <w:bCs/>
                <w:sz w:val="20"/>
                <w:szCs w:val="20"/>
                <w:lang w:val="en-US"/>
              </w:rPr>
              <w:t>Baltic Forestry 22(2): 251-258.</w:t>
            </w:r>
          </w:p>
          <w:p>
            <w:pPr>
              <w:pStyle w:val="Publikacje"/>
              <w:numPr>
                <w:ilvl w:val="0"/>
                <w:numId w:val="5"/>
              </w:numPr>
              <w:spacing w:lineRule="auto" w:line="240" w:before="0" w:after="0"/>
              <w:ind w:hanging="284" w:left="284"/>
              <w:contextualSpacing/>
              <w:outlineLvl w:val="0"/>
              <w:rPr>
                <w:rFonts w:ascii="Arial" w:hAnsi="Arial" w:eastAsia="Times New Roman" w:cs="Arial"/>
                <w:kern w:val="2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31F20"/>
                <w:sz w:val="20"/>
                <w:szCs w:val="20"/>
              </w:rPr>
              <w:t xml:space="preserve">Mansouri B., Azadi N. A., Albrycht M., Binkowski Ł.J., Błaszczyk M., Hamesadeghi U., Rahmani R. Maleki A. Majnoni F. 2020. </w:t>
            </w:r>
            <w:r>
              <w:rPr>
                <w:rFonts w:cs="Arial" w:ascii="Arial" w:hAnsi="Arial"/>
                <w:color w:val="231F20"/>
                <w:sz w:val="20"/>
                <w:szCs w:val="20"/>
                <w:lang w:val="en-US"/>
              </w:rPr>
              <w:t>Metal risk assessment study of canned fish available on the Iranian market. Biological Trace Element Research.</w:t>
            </w:r>
          </w:p>
          <w:p>
            <w:pPr>
              <w:pStyle w:val="Publikacje"/>
              <w:numPr>
                <w:ilvl w:val="0"/>
                <w:numId w:val="5"/>
              </w:numPr>
              <w:spacing w:lineRule="auto" w:line="240" w:before="0" w:after="0"/>
              <w:ind w:hanging="284" w:left="284"/>
              <w:contextualSpacing/>
              <w:textAlignment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val="en-US"/>
              </w:rPr>
            </w:pPr>
            <w:r>
              <w:fldChar w:fldCharType="begin"/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instrText xml:space="preserve"> HYPERLINK "https://www.sciencedirect.com/science/article/abs/pii/S0048969719300749" \l "!"</w:instrTex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separate"/>
            </w:r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>Humann-Guilleminot S.</w: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end"/>
            </w:r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fldChar w:fldCharType="begin"/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instrText xml:space="preserve"> HYPERLINK "https://www.sciencedirect.com/science/article/abs/pii/S0048969719300749" \l "!"</w:instrTex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separate"/>
            </w:r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>Sarah Clément</w: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end"/>
            </w:r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 xml:space="preserve"> S. </w:t>
            </w:r>
            <w:r>
              <w:fldChar w:fldCharType="begin"/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instrText xml:space="preserve"> HYPERLINK "https://www.sciencedirect.com/science/article/abs/pii/S0048969719300749" \l "!"</w:instrTex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separate"/>
            </w:r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>Desprat J.</w: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end"/>
            </w:r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fldChar w:fldCharType="begin"/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instrText xml:space="preserve"> HYPERLINK "https://www.sciencedirect.com/science/article/abs/pii/S0048969719300749" \l "!"</w:instrTex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separate"/>
            </w:r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 xml:space="preserve">Binkowski Ł.J., </w: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end"/>
            </w:r>
            <w:r>
              <w:fldChar w:fldCharType="begin"/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instrText xml:space="preserve"> HYPERLINK "https://www.sciencedirect.com/science/article/abs/pii/S0048969719300749" \l "!"</w:instrTex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separate"/>
            </w:r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>Glauser</w: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end"/>
            </w:r>
            <w:bookmarkStart w:id="0" w:name="bau0030"/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 xml:space="preserve"> G., </w:t>
            </w:r>
            <w:r>
              <w:fldChar w:fldCharType="begin"/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instrText xml:space="preserve"> HYPERLINK "https://www.sciencedirect.com/science/article/abs/pii/S0048969719300749" \l "!"</w:instrTex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separate"/>
            </w:r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>Helfenstein</w: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end"/>
            </w:r>
            <w:bookmarkEnd w:id="0"/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 xml:space="preserve"> F. 2019. </w:t>
            </w:r>
            <w:r>
              <w:rPr>
                <w:rFonts w:eastAsia="Times New Roman" w:cs="Arial" w:ascii="Arial" w:hAnsi="Arial"/>
                <w:kern w:val="2"/>
                <w:sz w:val="20"/>
                <w:szCs w:val="20"/>
                <w:lang w:val="en-US"/>
              </w:rPr>
              <w:t>A large-scale survey of house sparrows feathers reveals ubiquitous presence of neonicotinoids in farmlands.</w:t>
            </w:r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 xml:space="preserve"> </w:t>
            </w:r>
            <w:hyperlink r:id="rId2" w:tgtFrame="Go to Science of The Total Environment on ScienceDirect">
              <w:r>
                <w:rPr>
                  <w:rFonts w:eastAsia="Times New Roman" w:cs="Arial" w:ascii="Arial" w:hAnsi="Arial"/>
                  <w:sz w:val="20"/>
                  <w:szCs w:val="20"/>
                  <w:lang w:val="en-US"/>
                </w:rPr>
                <w:t>Science of The Total Environment</w:t>
              </w:r>
            </w:hyperlink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 xml:space="preserve"> 660: 1091-1097.</w:t>
            </w:r>
          </w:p>
          <w:p>
            <w:pPr>
              <w:pStyle w:val="Publikacje"/>
              <w:numPr>
                <w:ilvl w:val="0"/>
                <w:numId w:val="5"/>
              </w:numPr>
              <w:spacing w:lineRule="auto" w:line="240" w:before="0" w:afterAutospacing="1"/>
              <w:ind w:hanging="284" w:left="284"/>
              <w:contextualSpacing/>
              <w:textAlignment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val="en-US"/>
              </w:rPr>
            </w:pPr>
            <w:r>
              <w:fldChar w:fldCharType="begin"/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instrText xml:space="preserve"> HYPERLINK "https://www.sciencedirect.com/science/article/abs/pii/S0048969719362886" \l "!"</w:instrTex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separate"/>
            </w:r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 xml:space="preserve">Meissner W., </w: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end"/>
            </w:r>
            <w:r>
              <w:fldChar w:fldCharType="begin"/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instrText xml:space="preserve"> HYPERLINK "https://www.sciencedirect.com/science/article/abs/pii/S0048969719362886" \l "!"</w:instrTex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separate"/>
            </w:r>
            <w:bookmarkStart w:id="1" w:name="bau0010"/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>Binkowski Ł.J.,</w: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end"/>
            </w:r>
            <w:bookmarkStart w:id="2" w:name="bau0015"/>
            <w:bookmarkEnd w:id="1"/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fldChar w:fldCharType="begin"/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instrText xml:space="preserve"> HYPERLINK "https://www.sciencedirect.com/science/article/abs/pii/S0048969719362886" \l "!"</w:instrTex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separate"/>
            </w:r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 xml:space="preserve">Barker J., </w: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end"/>
            </w:r>
            <w:r>
              <w:fldChar w:fldCharType="begin"/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instrText xml:space="preserve"> HYPERLINK "https://www.sciencedirect.com/science/article/abs/pii/S0048969719362886" \l "!"</w:instrTex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separate"/>
            </w:r>
            <w:bookmarkStart w:id="3" w:name="bau0020"/>
            <w:bookmarkEnd w:id="2"/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>Hahn</w: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end"/>
            </w:r>
            <w:bookmarkStart w:id="4" w:name="bau0025"/>
            <w:bookmarkEnd w:id="3"/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 xml:space="preserve"> A</w:t>
            </w:r>
            <w:r>
              <w:fldChar w:fldCharType="begin"/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instrText xml:space="preserve"> HYPERLINK "https://www.sciencedirect.com/science/article/abs/pii/S0048969719362886" \l "!"</w:instrTex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separate"/>
            </w:r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rFonts w:eastAsia="Times New Roman" w:cs="Arial" w:ascii="Arial" w:hAnsi="Arial"/>
                <w:lang w:val="en-US"/>
              </w:rPr>
              <w:fldChar w:fldCharType="end"/>
            </w:r>
            <w:bookmarkEnd w:id="4"/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>, Trzeciak M. 2020. R</w:t>
            </w:r>
            <w:r>
              <w:rPr>
                <w:rFonts w:eastAsia="Times New Roman" w:cs="Arial" w:ascii="Arial" w:hAnsi="Arial"/>
                <w:kern w:val="2"/>
                <w:sz w:val="20"/>
                <w:szCs w:val="20"/>
                <w:lang w:val="en-US"/>
              </w:rPr>
              <w:t>elationship between blood lead levels and physiological stress in mute swans (</w:t>
            </w:r>
            <w:r>
              <w:rPr>
                <w:rFonts w:eastAsia="Times New Roman" w:cs="Arial" w:ascii="Arial" w:hAnsi="Arial"/>
                <w:i/>
                <w:iCs/>
                <w:kern w:val="2"/>
                <w:sz w:val="20"/>
                <w:szCs w:val="20"/>
                <w:lang w:val="en-US"/>
              </w:rPr>
              <w:t>Cygnus olor</w:t>
            </w:r>
            <w:r>
              <w:rPr>
                <w:rFonts w:eastAsia="Times New Roman" w:cs="Arial" w:ascii="Arial" w:hAnsi="Arial"/>
                <w:kern w:val="2"/>
                <w:sz w:val="20"/>
                <w:szCs w:val="20"/>
                <w:lang w:val="en-US"/>
              </w:rPr>
              <w:t xml:space="preserve">) in municipal beaches of the southern Baltic. </w:t>
            </w:r>
            <w:hyperlink r:id="rId3" w:tgtFrame="Go to Science of The Total Environment on ScienceDirect">
              <w:r>
                <w:rPr>
                  <w:rFonts w:eastAsia="Times New Roman" w:cs="Arial" w:ascii="Arial" w:hAnsi="Arial"/>
                  <w:sz w:val="20"/>
                  <w:szCs w:val="20"/>
                  <w:lang w:val="en-US"/>
                </w:rPr>
                <w:t>Science of The Total Environment</w:t>
              </w:r>
            </w:hyperlink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710: ID </w:t>
            </w:r>
            <w:r>
              <w:rPr>
                <w:rFonts w:eastAsia="Times New Roman" w:cs="Arial" w:ascii="Arial" w:hAnsi="Arial"/>
                <w:sz w:val="20"/>
                <w:szCs w:val="20"/>
                <w:lang w:val="en-US"/>
              </w:rPr>
              <w:t>136292.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75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</w:t>
            </w:r>
          </w:p>
        </w:tc>
      </w:tr>
    </w:tbl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keepNext w:val="true"/>
      <w:spacing w:before="24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  <w:docVars>
    <w:docVar w:name="__Grammarly_42____i" w:val="H4sIAAAAAAAEAKtWckksSQxILCpxzi/NK1GyMqwFAAEhoTITAAAA"/>
    <w:docVar w:name="__Grammarly_42___1" w:val="H4sIAAAAAAAEAKtWcslP9kxRslIyNDYyMTcyNTE2szSzMDI0NDJX0lEKTi0uzszPAykwqwUAt1S5RywAAAA=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rFonts w:ascii="Verdana" w:hAnsi="Verdana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Pagenumber">
    <w:name w:val="page number"/>
    <w:semiHidden/>
    <w:qFormat/>
    <w:rPr>
      <w:sz w:val="14"/>
      <w:szCs w:val="14"/>
    </w:rPr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iprzypiswdolnych">
    <w:name w:val="Znaki przypisów dolnych"/>
    <w:semiHidden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TekstdymkaZnak" w:customStyle="1">
    <w:name w:val="Tekst dymka Znak"/>
    <w:link w:val="BalloonText"/>
    <w:uiPriority w:val="99"/>
    <w:semiHidden/>
    <w:qFormat/>
    <w:rsid w:val="00827d3b"/>
    <w:rPr>
      <w:rFonts w:ascii="Tahoma" w:hAnsi="Tahoma" w:cs="Tahoma"/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semiHidden/>
    <w:qFormat/>
    <w:rsid w:val="009026ff"/>
    <w:rPr/>
  </w:style>
  <w:style w:type="character" w:styleId="TematkomentarzaZnak" w:customStyle="1">
    <w:name w:val="Temat komentarza Znak"/>
    <w:link w:val="Annotationsubject"/>
    <w:uiPriority w:val="99"/>
    <w:semiHidden/>
    <w:qFormat/>
    <w:rsid w:val="009026ff"/>
    <w:rPr>
      <w:b/>
      <w:bCs/>
    </w:rPr>
  </w:style>
  <w:style w:type="character" w:styleId="Tekstpodstawowy2Znak" w:customStyle="1">
    <w:name w:val="Tekst podstawowy 2 Znak"/>
    <w:basedOn w:val="DefaultParagraphFont"/>
    <w:link w:val="BodyText2"/>
    <w:uiPriority w:val="99"/>
    <w:qFormat/>
    <w:rsid w:val="008f1091"/>
    <w:rPr>
      <w:sz w:val="24"/>
      <w:szCs w:val="24"/>
    </w:rPr>
  </w:style>
  <w:style w:type="character" w:styleId="Apple-converted-space" w:customStyle="1">
    <w:name w:val="apple-converted-space"/>
    <w:basedOn w:val="DefaultParagraphFont"/>
    <w:qFormat/>
    <w:rsid w:val="00ca5b7a"/>
    <w:rPr/>
  </w:style>
  <w:style w:type="character" w:styleId="Hyperlink">
    <w:name w:val="Hyperlink"/>
    <w:rPr>
      <w:color w:val="0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BodyText"/>
    <w:semiHidden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semiHidden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BodyText"/>
    <w:qFormat/>
    <w:pPr/>
    <w:rPr/>
  </w:style>
  <w:style w:type="paragraph" w:styleId="Annotationtext">
    <w:name w:val="annotation text"/>
    <w:basedOn w:val="Normal"/>
    <w:link w:val="TekstkomentarzaZnak"/>
    <w:semiHidden/>
    <w:qFormat/>
    <w:pPr/>
    <w:rPr>
      <w:sz w:val="20"/>
      <w:szCs w:val="20"/>
    </w:rPr>
  </w:style>
  <w:style w:type="paragraph" w:styleId="Tematkomentarza1" w:customStyle="1">
    <w:name w:val="Temat komentarza1"/>
    <w:basedOn w:val="Annotationtext"/>
    <w:next w:val="Annotationtext"/>
    <w:qFormat/>
    <w:pPr/>
    <w:rPr>
      <w:b/>
      <w:bCs/>
    </w:rPr>
  </w:style>
  <w:style w:type="paragraph" w:styleId="Tekstdymka1" w:customStyle="1">
    <w:name w:val="Tekst dymka1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7d3b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026ff"/>
    <w:pPr/>
    <w:rPr>
      <w:b/>
      <w:bCs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8f1091"/>
    <w:pPr>
      <w:spacing w:lineRule="auto" w:line="480" w:before="0" w:after="120"/>
    </w:pPr>
    <w:rPr/>
  </w:style>
  <w:style w:type="paragraph" w:styleId="Tekstdymka2" w:customStyle="1">
    <w:name w:val="Tekst dymka2"/>
    <w:basedOn w:val="Normal"/>
    <w:qFormat/>
    <w:rsid w:val="00ca5b7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ca5b7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pl-PL"/>
    </w:rPr>
  </w:style>
  <w:style w:type="paragraph" w:styleId="Publikacje" w:customStyle="1">
    <w:name w:val="Publikacje"/>
    <w:basedOn w:val="NoSpacing"/>
    <w:qFormat/>
    <w:rsid w:val="00ca5b7a"/>
    <w:pPr>
      <w:widowControl/>
      <w:numPr>
        <w:ilvl w:val="0"/>
        <w:numId w:val="4"/>
      </w:numPr>
      <w:suppressAutoHyphens w:val="false"/>
      <w:spacing w:lineRule="auto" w:line="276" w:before="120" w:after="120"/>
      <w:ind w:left="720"/>
      <w:jc w:val="both"/>
    </w:pPr>
    <w:rPr>
      <w:rFonts w:eastAsia="Calibri"/>
      <w:szCs w:val="22"/>
    </w:rPr>
  </w:style>
  <w:style w:type="paragraph" w:styleId="NoSpacing">
    <w:name w:val="No Spacing"/>
    <w:uiPriority w:val="1"/>
    <w:qFormat/>
    <w:rsid w:val="00ca5b7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ciencedirect.com/science/journal/00489697" TargetMode="External"/><Relationship Id="rId3" Type="http://schemas.openxmlformats.org/officeDocument/2006/relationships/hyperlink" Target="https://www.sciencedirect.com/science/journal/00489697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7" Type="http://schemas.openxmlformats.org/officeDocument/2006/relationships/customXml" Target="../customXml/item4.xml"/><Relationship Id="rId18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zal_nr_4_karta_kursu_2019</Opi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D698EB0-3716-4CA7-9047-C99DDC96E2D5}">
  <ds:schemaRefs>
    <ds:schemaRef ds:uri="http://schemas.microsoft.com/office/2006/metadata/properties"/>
    <ds:schemaRef ds:uri="b52c25fa-4a22-4f71-bd58-d08063dcb0d9"/>
  </ds:schemaRefs>
</ds:datastoreItem>
</file>

<file path=customXml/itemProps2.xml><?xml version="1.0" encoding="utf-8"?>
<ds:datastoreItem xmlns:ds="http://schemas.openxmlformats.org/officeDocument/2006/customXml" ds:itemID="{6EBE5EF3-F5CA-4BD3-9D3F-B81C935735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5ADFE0-640C-48E0-8E15-84AA1C832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22F9B-2BB5-4A9F-AA6E-176BA22F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C93F53-9933-48FB-8D7B-20008F7B0C8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LibreOffice/7.6.1.2$Windows_X86_64 LibreOffice_project/f5defcebd022c5bc36bbb79be232cb6926d8f674</Application>
  <AppVersion>15.0000</AppVersion>
  <Pages>5</Pages>
  <Words>1107</Words>
  <Characters>7072</Characters>
  <CharactersWithSpaces>7973</CharactersWithSpaces>
  <Paragraphs>198</Paragraphs>
  <Company>Akademia Pedagogiczna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2019-10-22T09:36:00Z</dcterms:created>
  <dc:creator>Barbara Wilk</dc:creator>
  <dc:description/>
  <dc:language>pl-PL</dc:language>
  <cp:lastModifiedBy/>
  <cp:lastPrinted>2020-10-15T17:46:00Z</cp:lastPrinted>
  <dcterms:modified xsi:type="dcterms:W3CDTF">2023-10-04T13:15:51Z</dcterms:modified>
  <cp:revision>14</cp:revision>
  <dc:subject/>
  <dc:title>zal_nr_4_karta_kursu_2019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