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autoSpaceDE w:val="true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Załącznik nr 4 do Zarządzenia Nr RD/Z.0201-3/2020</w:t>
      </w:r>
    </w:p>
    <w:p>
      <w:pPr>
        <w:pStyle w:val="Normal"/>
        <w:autoSpaceDE w:val="true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autoSpaceDE w:val="true"/>
        <w:jc w:val="right"/>
        <w:rPr>
          <w:rFonts w:ascii="Arial" w:hAnsi="Arial" w:cs="Arial"/>
          <w:b/>
          <w:bCs/>
          <w:i/>
          <w:i/>
          <w:sz w:val="22"/>
        </w:rPr>
      </w:pPr>
      <w:r>
        <w:rPr>
          <w:rFonts w:cs="Arial" w:ascii="Arial" w:hAnsi="Arial"/>
          <w:b/>
          <w:bCs/>
          <w:i/>
          <w:sz w:val="22"/>
        </w:rPr>
      </w:r>
    </w:p>
    <w:p>
      <w:pPr>
        <w:pStyle w:val="Heading1"/>
        <w:ind w:hanging="0" w:left="0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4"/>
        </w:rPr>
        <w:t>KARTA KURSU</w:t>
      </w:r>
    </w:p>
    <w:p>
      <w:pPr>
        <w:pStyle w:val="Normal"/>
        <w:autoSpaceDE w:val="true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  <w:t>(studia stacjonarne)</w:t>
      </w:r>
    </w:p>
    <w:p>
      <w:pPr>
        <w:pStyle w:val="Normal"/>
        <w:autoSpaceDE w:val="true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autoSpaceDE w:val="true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85"/>
        <w:gridCol w:w="7655"/>
      </w:tblGrid>
      <w:tr>
        <w:trPr>
          <w:trHeight w:val="395" w:hRule="atLeast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Systematyka bezkręgowców I, II</w:t>
            </w:r>
          </w:p>
        </w:tc>
      </w:tr>
      <w:tr>
        <w:trPr>
          <w:trHeight w:val="379" w:hRule="atLeast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Invertebrate zoology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89"/>
        <w:gridCol w:w="3190"/>
        <w:gridCol w:w="3261"/>
      </w:tblGrid>
      <w:tr>
        <w:trPr>
          <w:cantSplit w:val="true"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Andrzej Górz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9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Andrzej Górz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7" w:hRule="atLeast"/>
          <w:cantSplit w:val="true"/>
        </w:trPr>
        <w:tc>
          <w:tcPr>
            <w:tcW w:w="3189" w:type="dxa"/>
            <w:tcBorders>
              <w:top w:val="single" w:sz="2" w:space="0" w:color="95B3D7"/>
              <w:bottom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3261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Opis kursu (cele kształcenia)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Kurs jest prowadzony w języku polskim. Ma on zapoznać studentów z różnorodnością bezkręgowców na poziomie jednostek taksonomicznych, struktur budowy zewnętrznej i wewnętrznej, sposobu funkcjonowania i preferencji środowiskowych. Dobór zagadnień i sposób prowadzenia zajęć daje studentom możliwość interpretacji zdobytej wiedzy zgodnie z zasadami klasyfikowania organizmów żywych i teorią ewolucji. W charakterystyce poszczególnych taksonów, główny nacisk został położony na cechy o znaczeniu filogenetycznym i adaptacyjnym. Ćwiczenia laboratoryjne i terenowe uwypuklają aspekty praktyczne, jak rozpoznawanie przedstawicieli różnych grup systematycznych oraz sporządzanie zbiorów bezkręgowców do celów naukowych i dydaktycznych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Warunki wstępne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41"/>
        <w:gridCol w:w="7699"/>
      </w:tblGrid>
      <w:tr>
        <w:trPr>
          <w:trHeight w:val="550" w:hRule="atLeast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Układ systematyczny i budowa bezkręgowców na poziomie liceum ogólnokształcącego.</w:t>
            </w:r>
          </w:p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  <w:tr>
        <w:trPr>
          <w:trHeight w:val="577" w:hRule="atLeast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Obsługa mikroskopu świetlnego.</w:t>
            </w:r>
          </w:p>
          <w:p>
            <w:pPr>
              <w:pStyle w:val="Normal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Znajomość pakietu MS Office (Word, PowerPoint, Microsoft Teams), platforma Moodle </w:t>
            </w:r>
          </w:p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  <w:tr>
        <w:trPr/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Zoologia ogólna</w:t>
            </w:r>
          </w:p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Efekty uczenia się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 Zna kryteria klasyfikacji bezkręgowców.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 Określa cechy diagnostyczne wybranych taksonów.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 Opisuje budowę zewnętrzną organizmów ze wskazaniem na cechy przystosowujące do różnych środowisk i trybu życia.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 Interpretuje plan budowy bezkręgowców w oparciu o znajomość ich filogenezy.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W05 Zna budowę i zasady działania układów wewnętrznych bezkręgowców.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W06 Klasyfikuje i charakteryzuje funkcje życiowe bezkręgowców (zachowanie integralności organizmu, strategie pobierania i trawienia pokarmu, wydalanie zbędnych i szkodliwych metabolitów, krążenie wewnątrzustrojowe, percepcja bodźców, sposoby oddychania i poruszania się, zdolności regeneracyjne, systemy rozmnażania i przebieg cykli rozrodczych.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K_W11, K_W20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K_W11, K_W19, K_W20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K_W15, K_W20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K_W20, K_W22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K_W20, K_W10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K_W10, K_W11, K_W20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5"/>
        <w:gridCol w:w="5245"/>
        <w:gridCol w:w="2410"/>
      </w:tblGrid>
      <w:tr>
        <w:trPr>
          <w:trHeight w:val="939" w:hRule="atLeast"/>
          <w:cantSplit w:val="true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2116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 Posługuje się profesjonalnymi kluczami do oznaczania bezkręgowców z fauny Polski.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 Rozpoznaje przedstawicieli wybranych taksonów.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 Sporządza preparaty morfologiczne i dokonuje ich interpretacji z użyciem mikroskopu świetlnego.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U04 Wykonuje i opisuje rysunki oglądanych preparatów.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U05 Stosuje zróżnicowane metody pozyskiwania bezkręgowców w terenie.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U06 Konserwuje, preparuje i etykietuje zebrane bezkręgowce.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U07 Wyszukuje samodzielnie informacje o bezkręgowcach.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U08 Przygotowuje prezentacje multimedialne.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Default"/>
              <w:rPr/>
            </w:pPr>
            <w:r>
              <w:rPr>
                <w:sz w:val="20"/>
                <w:szCs w:val="20"/>
              </w:rPr>
              <w:t xml:space="preserve">K_U02, K_U03, K_U05 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K_U01 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K_U02 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K_U02 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K_U02 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K_U02 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K_U03, K_U05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K_U02, K_U11, K_U10 K_U12, K_U13 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5"/>
        <w:gridCol w:w="5245"/>
        <w:gridCol w:w="2410"/>
      </w:tblGrid>
      <w:tr>
        <w:trPr>
          <w:trHeight w:val="800" w:hRule="atLeast"/>
          <w:cantSplit w:val="true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984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 Wykazuje zdolności do pracy w grupie.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 Określa problem i formułuje pytania.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 Dyskutuje i argumentuje swoje poglądy.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K04 Jest odpowiedzialny za powierzony sprzęt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K_K05, K_K07, K_K03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K_K01, K_K02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K_K04, K_K06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K_K03, K_K07, K_K09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>
        <w:trPr>
          <w:trHeight w:val="424" w:hRule="exact"/>
          <w:cantSplit w:val="true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1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15+15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30+30+30</w:t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RAZEM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  <w:t>Opis metod prowadzenia zajęć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Zawartotabeli"/>
              <w:rPr/>
            </w:pPr>
            <w:r>
              <w:rPr>
                <w:rFonts w:cs="Arial" w:ascii="Arial" w:hAnsi="Arial"/>
                <w:sz w:val="22"/>
                <w:szCs w:val="16"/>
                <w:u w:val="single"/>
              </w:rPr>
              <w:t>Wykład</w:t>
            </w:r>
            <w:r>
              <w:rPr>
                <w:rFonts w:cs="Arial" w:ascii="Arial" w:hAnsi="Arial"/>
                <w:sz w:val="22"/>
                <w:szCs w:val="16"/>
              </w:rPr>
              <w:t>: przygotowany w formie prezentacji multimedialnej.</w:t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b/>
                <w:sz w:val="22"/>
                <w:szCs w:val="16"/>
                <w:u w:val="single"/>
              </w:rPr>
              <w:t>Ćwiczenia laboratoryjne</w:t>
            </w:r>
            <w:r>
              <w:rPr>
                <w:rFonts w:cs="Arial" w:ascii="Arial" w:hAnsi="Arial"/>
                <w:sz w:val="22"/>
                <w:szCs w:val="16"/>
              </w:rPr>
              <w:t>: są prowadzone z wykorzystaniem materiału żywego i zakonserwowanego. Do obserwacji używane są mikroskopy świetlne do światła padającego i przechodzącego. Studenci pracują metodą projektu, podzieleni są na grupy (2-3 osobowe). Każda z grup wybiera temat, który przygotowuje a następnie prezentuje go na ćwiczeniach. Każdy nowy temat przygotowywany jest w ciągu dwóch tygodni. Projekty przedstawiane są w formie prezentacji multimedialnej z wykorzystaniem materiału żywego i zakonserwowanego.</w:t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b/>
                <w:sz w:val="22"/>
                <w:szCs w:val="16"/>
                <w:u w:val="single"/>
              </w:rPr>
              <w:t>Ćwiczenia terenowe:</w:t>
            </w:r>
            <w:r>
              <w:rPr>
                <w:rFonts w:cs="Arial" w:ascii="Arial" w:hAnsi="Arial"/>
                <w:sz w:val="22"/>
                <w:szCs w:val="16"/>
              </w:rPr>
              <w:t xml:space="preserve"> zapoznają studentów przede wszystkim z metodami zbierania (czerpak, siatka, sito, pułapki) i konserwowania bezkręgowców (preparaty mokre i suche). Poza tym studenci sporządzają opisy bardziej charakterystycznych środowisk lądowych i wodnych, w których występują bezkręgowce.</w:t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uczenia się</w:t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C0C0C0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W06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U05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U06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U07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U08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41"/>
        <w:gridCol w:w="7699"/>
      </w:tblGrid>
      <w:tr>
        <w:trPr/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Kryteria 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/>
            </w:pPr>
            <w:r>
              <w:rPr>
                <w:rFonts w:cs="Arial" w:ascii="Arial" w:hAnsi="Arial"/>
                <w:sz w:val="22"/>
                <w:szCs w:val="16"/>
              </w:rPr>
              <w:t xml:space="preserve">Egzamin ma formę dwustopniową 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 xml:space="preserve">1– składa się z wykonania pracy zaliczeniowej, która obejmuje pytania testowe zamknięte jednokrotnego i wielokrotnego wyboru. Praca zawiera również pytania otwarte, które dotyczą porównań różnych grup systematycznych bezkręgowców. W pracy będą wymienione nazwy nowo odkrytych gatunków bezkręgowców (z całego świata z ostatnich kilku lat), a zadaniem studenta będzie wyszukanie informacji na temat biologii, behawioru i środowiska życia tych gatunków. Praca będzie zawierała zdjęcia, które będą reprezentować gatunki różnych grup systematycznych, a zadaniem studenta będzie prawidłowe określenie przynależności systematycznej.  </w:t>
            </w:r>
          </w:p>
          <w:p>
            <w:pPr>
              <w:pStyle w:val="Zawartotabeli"/>
              <w:spacing w:before="57" w:after="57"/>
              <w:rPr/>
            </w:pPr>
            <w:r>
              <w:rPr>
                <w:rFonts w:cs="Arial" w:ascii="Arial" w:hAnsi="Arial"/>
                <w:sz w:val="22"/>
                <w:szCs w:val="16"/>
              </w:rPr>
              <w:t xml:space="preserve">Na wykonanie pracy student ma dwa tygodnie. 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 xml:space="preserve">Do zaliczenia tej pracy należy odpowiedzieć poprawnie na 90% pytań, co jest warunkiem dopuszczenia do części ustnej egzaminu. 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 xml:space="preserve">2 – forma ustna – Przed przystąpieniem do części ustnej student dostaje do wyboru 18 tematów, z których wybiera 3 do zaprezentowania w trakcie części ustnej egzaminu. Student do tej części egzaminu może zaprezentować trzy przez siebie wybrane tematy. 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Na przygotowanie 3 tematów student ma dwa tygodnie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Ocena końcowa z egzaminu jest wypadkową oceny uzyskanej z pracy egzaminacyjnej oraz oceny z prezentacji.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Ćwiczenia laboratoryjne:  – warunkiem uzyskania zaliczenia jest przede wszystkim uczestnictwo w zajęciach oraz przygotowanie i zaprezentowanie dwóch projektów w grupach trzyosobowych.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41"/>
        <w:gridCol w:w="7699"/>
      </w:tblGrid>
      <w:tr>
        <w:trPr>
          <w:trHeight w:val="1089" w:hRule="atLeast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before="0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napToGrid w:val="false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Treści merytoryczne (wykaz tematów)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Wykłady</w:t>
            </w:r>
          </w:p>
          <w:p>
            <w:pPr>
              <w:pStyle w:val="Tekstdymka1"/>
              <w:rPr/>
            </w:pPr>
            <w:r>
              <w:rPr>
                <w:rFonts w:cs="Arial" w:ascii="Arial" w:hAnsi="Arial"/>
                <w:sz w:val="22"/>
              </w:rPr>
              <w:t>1. Kryteria klasyfikacji bezkręgowców na poziomie typów i podtypów.</w:t>
            </w:r>
          </w:p>
          <w:p>
            <w:pPr>
              <w:pStyle w:val="Tekstdymka1"/>
              <w:rPr/>
            </w:pPr>
            <w:r>
              <w:rPr>
                <w:rFonts w:cs="Arial" w:ascii="Arial" w:hAnsi="Arial"/>
                <w:sz w:val="22"/>
              </w:rPr>
              <w:t>2. Ewolucja planu budowy wybranych grup bezkręgowców z uwzględnieniem:</w:t>
            </w:r>
          </w:p>
          <w:p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- budowy zewnętrznej (symetria ciała, podział na odcinki, segmentacja, występowanie i zróżnicowanie przydatków);</w:t>
            </w:r>
          </w:p>
          <w:p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- budowy anatomicznej (pokrycie i jamy ciała, układy wewnętrzne, narządy zmysłów);</w:t>
            </w:r>
          </w:p>
          <w:p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- cech przystosowujących do odmiennych środowisk i zróżnicowanego trybu życia (gatunki lądowe i wodne, wolno żyjące, osiadłe, kolonijne, społeczne, pasożytnicze itp.);</w:t>
            </w:r>
          </w:p>
          <w:p>
            <w:pPr>
              <w:pStyle w:val="BalloonText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3. Systemy rozmnażania i cykle rozrodcze bezkręgowców.</w:t>
            </w:r>
          </w:p>
          <w:p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Ćwiczenia laboratoryjne</w:t>
            </w:r>
          </w:p>
          <w:p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1. Zróżnicowanie wybranych grup bezkręgowców pod względem systematycznym i ekologicznym (cechy diagnostyczne, analiza różnic i podobieństw między taksonami wynikających z ich filogenezy i adaptacji do zajmowanych środowisk). Tematyka ćwiczeń jest uszczegółowieniem zagadnień omawianych na wykładach.</w:t>
            </w:r>
          </w:p>
          <w:p>
            <w:pPr>
              <w:pStyle w:val="BalloonText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Wykaz literatury podstawowej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Jura Cz. 1996-2006. Bezkręgowce. Podstawy morfologii funkcjonalnej, systematyki i filogenezy. PWN, Warszawa. </w:t>
            </w: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  <w:t>Podstawowy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R.C. Brusca and G. J. Brusca. 2003. Invertebrates – </w:t>
            </w: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  <w:t>Podstawowy – Układ systematyczny</w:t>
            </w:r>
            <w:r>
              <w:rPr>
                <w:rFonts w:cs="Arial" w:ascii="Arial" w:hAnsi="Arial"/>
                <w:sz w:val="22"/>
                <w:szCs w:val="22"/>
              </w:rPr>
              <w:t xml:space="preserve">;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 xml:space="preserve">Błaszak C. (red).2013-2020 Zoologia. Bezkręgowce Tom1: Część 1-3; Tom2: Cześć1-2;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Uzupełniający.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Wykaz literatury uzupełniającej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 xml:space="preserve">Biej-Bijenko G. J. 1976. Zarys entomologii. PWRiL, Warszawa.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16"/>
              </w:rPr>
              <w:t>Smagowicz K. 2004. Mantichora. Etymologiczny słownik nazw zwierząt.  Wydawnictwo UJ.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Pigulewski S. W. 1982. Jadowite zwierzęta bezkręgowe. PWN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Stańczykowska A. 1986. Zwierzęta bezkręgowe naszych wód. Wydawnictwo Szkolne i Pedagogiczne, Warszawa.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Rybak J. I. 2000. Bezkręgowe zwierzęta słodkowodne. Przewodnik do rozpoznawania. PWN.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22"/>
              </w:rPr>
              <w:t>Klucze do oznacza owadów Polski.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BalloonText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BalloonTex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Bilans godzinowy zgodny z CNPS (Całkowity Nakład Pracy Studenta)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5750"/>
        <w:gridCol w:w="1066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30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90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20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</w:t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20</w:t>
            </w:r>
          </w:p>
        </w:tc>
      </w:tr>
      <w:tr>
        <w:trPr>
          <w:trHeight w:val="365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20</w:t>
            </w:r>
          </w:p>
        </w:tc>
      </w:tr>
      <w:tr>
        <w:trPr>
          <w:trHeight w:val="365" w:hRule="atLeast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200</w:t>
            </w:r>
          </w:p>
        </w:tc>
      </w:tr>
      <w:tr>
        <w:trPr>
          <w:trHeight w:val="392" w:hRule="atLeast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6</w:t>
            </w:r>
          </w:p>
        </w:tc>
      </w:tr>
    </w:tbl>
    <w:p>
      <w:pPr>
        <w:pStyle w:val="BalloonTex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454" w:top="1276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00"/>
    <w:family w:val="swiss"/>
    <w:pitch w:val="variable"/>
  </w:font>
  <w:font w:name="Calibri Light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true"/>
      <w:jc w:val="center"/>
      <w:outlineLvl w:val="0"/>
    </w:pPr>
    <w:rPr>
      <w:rFonts w:ascii="Verdana" w:hAnsi="Verdana" w:cs="Verdana"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character" w:styleId="WW8Num1z0">
    <w:name w:val="WW8Num1z0"/>
    <w:qFormat/>
    <w:rPr>
      <w:b w:val="false"/>
      <w:sz w:val="14"/>
      <w:szCs w:val="14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PageNumber">
    <w:name w:val="Page Number"/>
    <w:rPr>
      <w:sz w:val="14"/>
      <w:szCs w:val="14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przypiswdolnych">
    <w:name w:val="Znaki przypisów dolnych"/>
    <w:qFormat/>
    <w:rPr>
      <w:vertAlign w:val="superscript"/>
    </w:rPr>
  </w:style>
  <w:style w:type="character" w:styleId="StopkaZnak">
    <w:name w:val="Stopka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TekstkomentarzaZnak">
    <w:name w:val="Tekst komentarza Znak"/>
    <w:basedOn w:val="Domylnaczcionkaakapitu"/>
    <w:qFormat/>
    <w:rPr/>
  </w:style>
  <w:style w:type="character" w:styleId="TematkomentarzaZnak">
    <w:name w:val="Temat komentarza Znak"/>
    <w:qFormat/>
    <w:rPr>
      <w:b/>
      <w:bCs/>
    </w:rPr>
  </w:style>
  <w:style w:type="character" w:styleId="Nagwek3Znak">
    <w:name w:val="Nagłówek 3 Znak"/>
    <w:qFormat/>
    <w:rPr>
      <w:rFonts w:ascii="Calibri Light" w:hAnsi="Calibri Light" w:eastAsia="Times New Roman" w:cs="Times New Roman"/>
      <w:b/>
      <w:bCs/>
      <w:sz w:val="26"/>
      <w:szCs w:val="26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autoSpaceDE w:val="true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Zawartoramki">
    <w:name w:val="Zawartość ramki"/>
    <w:basedOn w:val="BodyText"/>
    <w:qFormat/>
    <w:pPr/>
    <w:rPr/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kstkomentarza"/>
    <w:next w:val="Tekstkomentarza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pPr/>
    <w:rPr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  <w:lang w:val="pl-PL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pl-PL" w:bidi="ar-SA" w:eastAsia="zh-CN"/>
    </w:rPr>
  </w:style>
  <w:style w:type="paragraph" w:styleId="Tekstdymka1">
    <w:name w:val="Tekst dymka1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LibreOffice/7.6.1.2$Windows_X86_64 LibreOffice_project/f5defcebd022c5bc36bbb79be232cb6926d8f674</Application>
  <AppVersion>15.0000</AppVersion>
  <Pages>5</Pages>
  <Words>1100</Words>
  <Characters>7233</Characters>
  <CharactersWithSpaces>8148</CharactersWithSpaces>
  <Paragraphs>211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2023-02-20T13:10:00Z</dcterms:created>
  <dc:creator>Barbara Wilk</dc:creator>
  <dc:description/>
  <cp:keywords/>
  <dc:language>pl-PL</dc:language>
  <cp:lastModifiedBy>Uniwersytet</cp:lastModifiedBy>
  <cp:lastPrinted>2012-01-27T08:28:00Z</cp:lastPrinted>
  <dcterms:modified xsi:type="dcterms:W3CDTF">2023-09-20T11:44:00Z</dcterms:modified>
  <cp:revision>3</cp:revision>
  <dc:subject/>
  <dc:title>KARTA KURSU</dc:title>
</cp:coreProperties>
</file>